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F6D8F6">
      <w:pPr>
        <w:keepNext w:val="0"/>
        <w:keepLines w:val="0"/>
        <w:pageBreakBefore w:val="0"/>
        <w:widowControl w:val="0"/>
        <w:suppressLineNumbers w:val="0"/>
        <w:kinsoku/>
        <w:wordWrap/>
        <w:overflowPunct/>
        <w:topLinePunct w:val="0"/>
        <w:autoSpaceDE/>
        <w:autoSpaceDN/>
        <w:bidi w:val="0"/>
        <w:adjustRightInd/>
        <w:snapToGrid/>
        <w:spacing w:line="576" w:lineRule="exact"/>
        <w:jc w:val="center"/>
        <w:textAlignment w:val="auto"/>
        <w:rPr>
          <w:rFonts w:hint="eastAsia" w:ascii="方正小标宋_GBK" w:hAnsi="方正小标宋_GBK" w:eastAsia="方正小标宋_GBK" w:cs="方正小标宋_GBK"/>
          <w:b w:val="0"/>
          <w:bCs w:val="0"/>
          <w:i w:val="0"/>
          <w:snapToGrid/>
          <w:spacing w:val="7"/>
          <w:kern w:val="0"/>
          <w:sz w:val="44"/>
          <w:szCs w:val="44"/>
          <w:u w:val="none"/>
          <w:lang w:val="en-US" w:eastAsia="zh-CN" w:bidi="ar"/>
        </w:rPr>
      </w:pPr>
      <w:r>
        <w:rPr>
          <w:rFonts w:hint="eastAsia" w:ascii="方正小标宋_GBK" w:hAnsi="方正小标宋_GBK" w:eastAsia="方正小标宋_GBK" w:cs="方正小标宋_GBK"/>
          <w:b w:val="0"/>
          <w:bCs w:val="0"/>
          <w:i w:val="0"/>
          <w:snapToGrid/>
          <w:spacing w:val="7"/>
          <w:kern w:val="0"/>
          <w:sz w:val="44"/>
          <w:szCs w:val="44"/>
          <w:u w:val="none"/>
          <w:lang w:val="en-US" w:eastAsia="zh-CN" w:bidi="ar"/>
        </w:rPr>
        <w:t>尼木县县属国有企业投资监督管理办法</w:t>
      </w:r>
    </w:p>
    <w:p w14:paraId="678519AD">
      <w:pPr>
        <w:keepNext w:val="0"/>
        <w:keepLines w:val="0"/>
        <w:pageBreakBefore w:val="0"/>
        <w:widowControl w:val="0"/>
        <w:suppressLineNumbers w:val="0"/>
        <w:kinsoku/>
        <w:wordWrap/>
        <w:overflowPunct/>
        <w:topLinePunct w:val="0"/>
        <w:autoSpaceDE/>
        <w:autoSpaceDN/>
        <w:bidi w:val="0"/>
        <w:adjustRightInd/>
        <w:snapToGrid/>
        <w:spacing w:line="576" w:lineRule="exact"/>
        <w:jc w:val="center"/>
        <w:textAlignment w:val="auto"/>
        <w:rPr>
          <w:rFonts w:hint="eastAsia" w:ascii="方正小标宋_GBK" w:hAnsi="方正小标宋_GBK" w:eastAsia="方正小标宋_GBK" w:cs="方正小标宋_GBK"/>
          <w:b w:val="0"/>
          <w:i w:val="0"/>
          <w:snapToGrid/>
          <w:spacing w:val="7"/>
          <w:kern w:val="0"/>
          <w:sz w:val="32"/>
          <w:szCs w:val="32"/>
          <w:u w:val="none"/>
          <w:lang w:val="en-US" w:eastAsia="zh-CN" w:bidi="ar"/>
        </w:rPr>
      </w:pPr>
    </w:p>
    <w:p w14:paraId="4C2ADCD8">
      <w:pPr>
        <w:keepNext w:val="0"/>
        <w:keepLines w:val="0"/>
        <w:pageBreakBefore w:val="0"/>
        <w:widowControl w:val="0"/>
        <w:suppressLineNumbers w:val="0"/>
        <w:kinsoku/>
        <w:wordWrap/>
        <w:overflowPunct/>
        <w:topLinePunct w:val="0"/>
        <w:autoSpaceDE/>
        <w:autoSpaceDN/>
        <w:bidi w:val="0"/>
        <w:adjustRightInd/>
        <w:snapToGrid/>
        <w:spacing w:line="576" w:lineRule="exact"/>
        <w:jc w:val="center"/>
        <w:textAlignment w:val="auto"/>
        <w:rPr>
          <w:rFonts w:hint="eastAsia" w:ascii="方正小标宋_GBK" w:hAnsi="方正小标宋_GBK" w:eastAsia="方正小标宋_GBK" w:cs="方正小标宋_GBK"/>
          <w:b w:val="0"/>
          <w:i w:val="0"/>
          <w:snapToGrid/>
          <w:spacing w:val="7"/>
          <w:kern w:val="0"/>
          <w:sz w:val="32"/>
          <w:szCs w:val="32"/>
          <w:u w:val="none"/>
          <w:lang w:val="en-US" w:eastAsia="zh-CN" w:bidi="ar"/>
        </w:rPr>
      </w:pPr>
      <w:r>
        <w:rPr>
          <w:rFonts w:hint="eastAsia" w:ascii="方正小标宋_GBK" w:hAnsi="方正小标宋_GBK" w:eastAsia="方正小标宋_GBK" w:cs="方正小标宋_GBK"/>
          <w:b w:val="0"/>
          <w:i w:val="0"/>
          <w:snapToGrid/>
          <w:spacing w:val="7"/>
          <w:kern w:val="0"/>
          <w:sz w:val="32"/>
          <w:szCs w:val="32"/>
          <w:u w:val="none"/>
          <w:lang w:val="en-US" w:eastAsia="zh-CN" w:bidi="ar"/>
        </w:rPr>
        <w:t>第一章 总则</w:t>
      </w:r>
    </w:p>
    <w:p w14:paraId="2CE68D45">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576" w:lineRule="exact"/>
        <w:ind w:firstLine="640"/>
        <w:jc w:val="left"/>
        <w:textAlignment w:val="auto"/>
        <w:rPr>
          <w:rFonts w:hint="eastAsia" w:ascii="方正仿宋_GBK" w:hAnsi="方正仿宋_GBK" w:eastAsia="方正仿宋_GBK" w:cs="方正仿宋_GBK"/>
          <w:b w:val="0"/>
          <w:bCs w:val="0"/>
          <w:snapToGrid/>
          <w:kern w:val="2"/>
          <w:sz w:val="32"/>
          <w:szCs w:val="32"/>
          <w:lang w:val="en-US" w:eastAsia="zh-CN"/>
        </w:rPr>
      </w:pPr>
      <w:r>
        <w:rPr>
          <w:rFonts w:hint="eastAsia" w:ascii="方正仿宋_GBK" w:hAnsi="方正仿宋_GBK" w:eastAsia="方正仿宋_GBK" w:cs="方正仿宋_GBK"/>
          <w:b w:val="0"/>
          <w:bCs w:val="0"/>
          <w:snapToGrid/>
          <w:kern w:val="2"/>
          <w:sz w:val="32"/>
          <w:szCs w:val="32"/>
          <w:lang w:val="en-US" w:eastAsia="zh-CN"/>
        </w:rPr>
        <w:t>第一条 为依法履行出资人职责，建立完善以管资本为主的国有资产监督管理体制，规范县属国有企业投资管理行为，防范投资风险，提升投资绩效，根据《中华人民共和国公司法》《中华人民共和国企业国有资产法》《关于深化国有企业改革的指导意见》(中发〔2015〕22号)和《西藏自治区政府国资委监管企业投资监督管理办法》(藏国资发〔2019〕11号)《拉萨市政府国资委关于印发&lt;拉萨市市属国有企业投资监督管理办法&gt;的通知》(拉国资发〔2024〕16号)等规定，结合尼木实际，制定本办法。</w:t>
      </w:r>
    </w:p>
    <w:p w14:paraId="32DD8517">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576" w:lineRule="exact"/>
        <w:ind w:firstLine="640"/>
        <w:jc w:val="left"/>
        <w:textAlignment w:val="auto"/>
        <w:rPr>
          <w:rFonts w:hint="eastAsia" w:ascii="方正仿宋_GBK" w:hAnsi="方正仿宋_GBK" w:eastAsia="方正仿宋_GBK" w:cs="方正仿宋_GBK"/>
          <w:b w:val="0"/>
          <w:bCs w:val="0"/>
          <w:snapToGrid/>
          <w:kern w:val="2"/>
          <w:sz w:val="32"/>
          <w:szCs w:val="32"/>
          <w:lang w:val="en-US" w:eastAsia="zh-CN"/>
        </w:rPr>
      </w:pPr>
      <w:r>
        <w:rPr>
          <w:rFonts w:hint="eastAsia" w:ascii="方正仿宋_GBK" w:hAnsi="方正仿宋_GBK" w:eastAsia="方正仿宋_GBK" w:cs="方正仿宋_GBK"/>
          <w:b w:val="0"/>
          <w:bCs w:val="0"/>
          <w:snapToGrid/>
          <w:kern w:val="2"/>
          <w:sz w:val="32"/>
          <w:szCs w:val="32"/>
          <w:lang w:val="en-US" w:eastAsia="zh-CN"/>
        </w:rPr>
        <w:t>第二条 本办法适用于尼木县人民政府授权县政府国资委依法履行出资人职责的县属国有企业。</w:t>
      </w:r>
    </w:p>
    <w:p w14:paraId="4D8937DE">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576" w:lineRule="exact"/>
        <w:ind w:firstLine="640"/>
        <w:jc w:val="left"/>
        <w:textAlignment w:val="auto"/>
        <w:rPr>
          <w:rFonts w:hint="eastAsia" w:ascii="方正仿宋_GBK" w:hAnsi="方正仿宋_GBK" w:eastAsia="方正仿宋_GBK" w:cs="方正仿宋_GBK"/>
          <w:b w:val="0"/>
          <w:bCs w:val="0"/>
          <w:snapToGrid/>
          <w:kern w:val="2"/>
          <w:sz w:val="32"/>
          <w:szCs w:val="32"/>
          <w:lang w:val="en-US" w:eastAsia="zh-CN"/>
        </w:rPr>
      </w:pPr>
      <w:r>
        <w:rPr>
          <w:rFonts w:hint="eastAsia" w:ascii="方正仿宋_GBK" w:hAnsi="方正仿宋_GBK" w:eastAsia="方正仿宋_GBK" w:cs="方正仿宋_GBK"/>
          <w:b w:val="0"/>
          <w:bCs w:val="0"/>
          <w:snapToGrid/>
          <w:kern w:val="2"/>
          <w:sz w:val="32"/>
          <w:szCs w:val="32"/>
          <w:lang w:val="en-US" w:eastAsia="zh-CN"/>
        </w:rPr>
        <w:t>第三条 本办法所称投资是指县属国有企业及其子企业在境内从事的固定资产投资与股权投资的项目。</w:t>
      </w:r>
    </w:p>
    <w:p w14:paraId="05BC913A">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576" w:lineRule="exact"/>
        <w:ind w:firstLine="640"/>
        <w:jc w:val="left"/>
        <w:textAlignment w:val="auto"/>
        <w:rPr>
          <w:rFonts w:hint="eastAsia" w:ascii="方正仿宋_GBK" w:hAnsi="方正仿宋_GBK" w:eastAsia="方正仿宋_GBK" w:cs="方正仿宋_GBK"/>
          <w:b w:val="0"/>
          <w:bCs w:val="0"/>
          <w:snapToGrid/>
          <w:kern w:val="2"/>
          <w:sz w:val="32"/>
          <w:szCs w:val="32"/>
          <w:lang w:val="en-US" w:eastAsia="zh-CN"/>
        </w:rPr>
      </w:pPr>
      <w:r>
        <w:rPr>
          <w:rFonts w:hint="eastAsia" w:ascii="方正仿宋_GBK" w:hAnsi="方正仿宋_GBK" w:eastAsia="方正仿宋_GBK" w:cs="方正仿宋_GBK"/>
          <w:b w:val="0"/>
          <w:bCs w:val="0"/>
          <w:snapToGrid/>
          <w:kern w:val="2"/>
          <w:sz w:val="32"/>
          <w:szCs w:val="32"/>
          <w:lang w:val="en-US" w:eastAsia="zh-CN"/>
        </w:rPr>
        <w:t>（一）固定资产投资：购置土地房屋、基本建设、技术改造等；</w:t>
      </w:r>
    </w:p>
    <w:p w14:paraId="1F83CB6D">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576" w:lineRule="exact"/>
        <w:ind w:firstLine="640"/>
        <w:jc w:val="left"/>
        <w:textAlignment w:val="auto"/>
        <w:rPr>
          <w:rFonts w:hint="eastAsia" w:ascii="方正仿宋_GBK" w:hAnsi="方正仿宋_GBK" w:eastAsia="方正仿宋_GBK" w:cs="方正仿宋_GBK"/>
          <w:b w:val="0"/>
          <w:bCs w:val="0"/>
          <w:snapToGrid/>
          <w:kern w:val="2"/>
          <w:sz w:val="32"/>
          <w:szCs w:val="32"/>
          <w:lang w:val="en-US" w:eastAsia="zh-CN"/>
        </w:rPr>
      </w:pPr>
      <w:r>
        <w:rPr>
          <w:rFonts w:hint="eastAsia" w:ascii="方正仿宋_GBK" w:hAnsi="方正仿宋_GBK" w:eastAsia="方正仿宋_GBK" w:cs="方正仿宋_GBK"/>
          <w:b w:val="0"/>
          <w:bCs w:val="0"/>
          <w:snapToGrid/>
          <w:kern w:val="2"/>
          <w:sz w:val="32"/>
          <w:szCs w:val="32"/>
          <w:lang w:val="en-US" w:eastAsia="zh-CN"/>
        </w:rPr>
        <w:t>（二）股权投资：投资设立全资企业、合资合作企业、股权收购、对出资企业追加资本金、新设基金或认购基金等。</w:t>
      </w:r>
    </w:p>
    <w:p w14:paraId="64F753A4">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576" w:lineRule="exact"/>
        <w:ind w:firstLine="640"/>
        <w:jc w:val="left"/>
        <w:textAlignment w:val="auto"/>
        <w:rPr>
          <w:rFonts w:hint="eastAsia" w:ascii="方正仿宋_GBK" w:hAnsi="方正仿宋_GBK" w:eastAsia="方正仿宋_GBK" w:cs="方正仿宋_GBK"/>
          <w:b w:val="0"/>
          <w:bCs w:val="0"/>
          <w:snapToGrid/>
          <w:kern w:val="2"/>
          <w:sz w:val="32"/>
          <w:szCs w:val="32"/>
          <w:lang w:val="en-US" w:eastAsia="zh-CN"/>
        </w:rPr>
      </w:pPr>
      <w:r>
        <w:rPr>
          <w:rFonts w:hint="eastAsia" w:ascii="方正仿宋_GBK" w:hAnsi="方正仿宋_GBK" w:eastAsia="方正仿宋_GBK" w:cs="方正仿宋_GBK"/>
          <w:b w:val="0"/>
          <w:bCs w:val="0"/>
          <w:snapToGrid/>
          <w:kern w:val="2"/>
          <w:sz w:val="32"/>
          <w:szCs w:val="32"/>
          <w:lang w:val="en-US" w:eastAsia="zh-CN"/>
        </w:rPr>
        <w:t>第四条 企业是投资项目的决策主体、执行主体和责任主体，应当服务全县发展战略，体现出资人投资意愿，坚持以规划为引领，聚焦主业发展，大力培育和发展战略性新兴产业，严格控制非主业投资，严格遵守投资决策程序，提高投资回报，防止国有资产流失。企业投资应当遵循以下原则：</w:t>
      </w:r>
    </w:p>
    <w:p w14:paraId="45166AEF">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576" w:lineRule="exact"/>
        <w:ind w:firstLine="640"/>
        <w:jc w:val="left"/>
        <w:textAlignment w:val="auto"/>
        <w:rPr>
          <w:rFonts w:hint="eastAsia" w:ascii="方正仿宋_GBK" w:hAnsi="方正仿宋_GBK" w:eastAsia="方正仿宋_GBK" w:cs="方正仿宋_GBK"/>
          <w:b w:val="0"/>
          <w:bCs w:val="0"/>
          <w:snapToGrid/>
          <w:kern w:val="2"/>
          <w:sz w:val="32"/>
          <w:szCs w:val="32"/>
          <w:lang w:val="en-US" w:eastAsia="zh-CN"/>
        </w:rPr>
      </w:pPr>
      <w:r>
        <w:rPr>
          <w:rFonts w:hint="eastAsia" w:ascii="方正仿宋_GBK" w:hAnsi="方正仿宋_GBK" w:eastAsia="方正仿宋_GBK" w:cs="方正仿宋_GBK"/>
          <w:b w:val="0"/>
          <w:bCs w:val="0"/>
          <w:snapToGrid/>
          <w:kern w:val="2"/>
          <w:sz w:val="32"/>
          <w:szCs w:val="32"/>
          <w:lang w:val="en-US" w:eastAsia="zh-CN"/>
        </w:rPr>
        <w:t>（一）符合国家法律法规、产业政策和发展规划；</w:t>
      </w:r>
    </w:p>
    <w:p w14:paraId="4369E1C1">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576" w:lineRule="exact"/>
        <w:ind w:firstLine="640"/>
        <w:jc w:val="left"/>
        <w:textAlignment w:val="auto"/>
        <w:rPr>
          <w:rFonts w:hint="eastAsia" w:ascii="方正仿宋_GBK" w:hAnsi="方正仿宋_GBK" w:eastAsia="方正仿宋_GBK" w:cs="方正仿宋_GBK"/>
          <w:b w:val="0"/>
          <w:bCs w:val="0"/>
          <w:snapToGrid/>
          <w:kern w:val="2"/>
          <w:sz w:val="32"/>
          <w:szCs w:val="32"/>
          <w:lang w:val="en-US" w:eastAsia="zh-CN"/>
        </w:rPr>
      </w:pPr>
      <w:r>
        <w:rPr>
          <w:rFonts w:hint="eastAsia" w:ascii="方正仿宋_GBK" w:hAnsi="方正仿宋_GBK" w:eastAsia="方正仿宋_GBK" w:cs="方正仿宋_GBK"/>
          <w:b w:val="0"/>
          <w:bCs w:val="0"/>
          <w:snapToGrid/>
          <w:kern w:val="2"/>
          <w:sz w:val="32"/>
          <w:szCs w:val="32"/>
          <w:lang w:val="en-US" w:eastAsia="zh-CN"/>
        </w:rPr>
        <w:t>（二）符合企业发展战略，突出主业发展方向，有利于增强企业的核心竞争力，实现国有资产保值增值；</w:t>
      </w:r>
    </w:p>
    <w:p w14:paraId="64109C9F">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576" w:lineRule="exact"/>
        <w:ind w:firstLine="640"/>
        <w:jc w:val="left"/>
        <w:textAlignment w:val="auto"/>
        <w:rPr>
          <w:rFonts w:hint="eastAsia" w:ascii="方正仿宋_GBK" w:hAnsi="方正仿宋_GBK" w:eastAsia="方正仿宋_GBK" w:cs="方正仿宋_GBK"/>
          <w:b w:val="0"/>
          <w:bCs w:val="0"/>
          <w:snapToGrid/>
          <w:kern w:val="2"/>
          <w:sz w:val="32"/>
          <w:szCs w:val="32"/>
          <w:lang w:val="en-US" w:eastAsia="zh-CN"/>
        </w:rPr>
      </w:pPr>
      <w:r>
        <w:rPr>
          <w:rFonts w:hint="eastAsia" w:ascii="方正仿宋_GBK" w:hAnsi="方正仿宋_GBK" w:eastAsia="方正仿宋_GBK" w:cs="方正仿宋_GBK"/>
          <w:b w:val="0"/>
          <w:bCs w:val="0"/>
          <w:snapToGrid/>
          <w:kern w:val="2"/>
          <w:sz w:val="32"/>
          <w:szCs w:val="32"/>
          <w:lang w:val="en-US" w:eastAsia="zh-CN"/>
        </w:rPr>
        <w:t>（三）符合企业投资决策程序和投资管理制度；</w:t>
      </w:r>
    </w:p>
    <w:p w14:paraId="55F5A6B6">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576" w:lineRule="exact"/>
        <w:ind w:firstLine="640"/>
        <w:jc w:val="left"/>
        <w:textAlignment w:val="auto"/>
        <w:rPr>
          <w:rFonts w:hint="eastAsia" w:ascii="方正仿宋_GBK" w:hAnsi="方正仿宋_GBK" w:eastAsia="方正仿宋_GBK" w:cs="方正仿宋_GBK"/>
          <w:b w:val="0"/>
          <w:bCs w:val="0"/>
          <w:snapToGrid/>
          <w:kern w:val="2"/>
          <w:sz w:val="32"/>
          <w:szCs w:val="32"/>
          <w:lang w:val="en-US" w:eastAsia="zh-CN"/>
        </w:rPr>
      </w:pPr>
      <w:r>
        <w:rPr>
          <w:rFonts w:hint="eastAsia" w:ascii="方正仿宋_GBK" w:hAnsi="方正仿宋_GBK" w:eastAsia="方正仿宋_GBK" w:cs="方正仿宋_GBK"/>
          <w:b w:val="0"/>
          <w:bCs w:val="0"/>
          <w:snapToGrid/>
          <w:kern w:val="2"/>
          <w:sz w:val="32"/>
          <w:szCs w:val="32"/>
          <w:lang w:val="en-US" w:eastAsia="zh-CN"/>
        </w:rPr>
        <w:t>（四）投资规模必须与企业资产规模、资产负债水平和实际融资能力相适应；</w:t>
      </w:r>
    </w:p>
    <w:p w14:paraId="5E2CB49F">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576" w:lineRule="exact"/>
        <w:ind w:firstLine="640"/>
        <w:jc w:val="left"/>
        <w:textAlignment w:val="auto"/>
        <w:rPr>
          <w:rFonts w:hint="eastAsia" w:ascii="方正仿宋_GBK" w:hAnsi="方正仿宋_GBK" w:eastAsia="方正仿宋_GBK" w:cs="方正仿宋_GBK"/>
          <w:b w:val="0"/>
          <w:bCs w:val="0"/>
          <w:snapToGrid/>
          <w:kern w:val="2"/>
          <w:sz w:val="32"/>
          <w:szCs w:val="32"/>
          <w:lang w:val="en-US" w:eastAsia="zh-CN"/>
        </w:rPr>
      </w:pPr>
      <w:r>
        <w:rPr>
          <w:rFonts w:hint="eastAsia" w:ascii="方正仿宋_GBK" w:hAnsi="方正仿宋_GBK" w:eastAsia="方正仿宋_GBK" w:cs="方正仿宋_GBK"/>
          <w:b w:val="0"/>
          <w:bCs w:val="0"/>
          <w:snapToGrid/>
          <w:kern w:val="2"/>
          <w:sz w:val="32"/>
          <w:szCs w:val="32"/>
          <w:lang w:val="en-US" w:eastAsia="zh-CN"/>
        </w:rPr>
        <w:t>（五）经营性投资项目预期投资收益率原则上不低于国内同行业同期平均水平；</w:t>
      </w:r>
    </w:p>
    <w:p w14:paraId="041FA3C4">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576" w:lineRule="exact"/>
        <w:ind w:firstLine="640"/>
        <w:jc w:val="left"/>
        <w:textAlignment w:val="auto"/>
        <w:rPr>
          <w:rFonts w:hint="eastAsia" w:ascii="方正仿宋_GBK" w:hAnsi="方正仿宋_GBK" w:eastAsia="方正仿宋_GBK" w:cs="方正仿宋_GBK"/>
          <w:b w:val="0"/>
          <w:bCs w:val="0"/>
          <w:snapToGrid/>
          <w:kern w:val="2"/>
          <w:sz w:val="32"/>
          <w:szCs w:val="32"/>
          <w:lang w:val="en-US" w:eastAsia="zh-CN"/>
        </w:rPr>
      </w:pPr>
      <w:r>
        <w:rPr>
          <w:rFonts w:hint="eastAsia" w:ascii="方正仿宋_GBK" w:hAnsi="方正仿宋_GBK" w:eastAsia="方正仿宋_GBK" w:cs="方正仿宋_GBK"/>
          <w:b w:val="0"/>
          <w:bCs w:val="0"/>
          <w:snapToGrid/>
          <w:kern w:val="2"/>
          <w:sz w:val="32"/>
          <w:szCs w:val="32"/>
          <w:lang w:val="en-US" w:eastAsia="zh-CN"/>
        </w:rPr>
        <w:t>（六）准公共性项目要在服务重大发展战略中探索可持续发展的盈利模式，实现综合回报。</w:t>
      </w:r>
    </w:p>
    <w:p w14:paraId="1FF7F286">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576" w:lineRule="exact"/>
        <w:ind w:firstLine="640"/>
        <w:jc w:val="left"/>
        <w:textAlignment w:val="auto"/>
        <w:rPr>
          <w:rFonts w:hint="eastAsia" w:ascii="方正仿宋_GBK" w:hAnsi="方正仿宋_GBK" w:eastAsia="方正仿宋_GBK" w:cs="方正仿宋_GBK"/>
          <w:b w:val="0"/>
          <w:bCs w:val="0"/>
          <w:snapToGrid/>
          <w:kern w:val="2"/>
          <w:sz w:val="32"/>
          <w:szCs w:val="32"/>
          <w:lang w:val="en-US" w:eastAsia="zh-CN"/>
        </w:rPr>
      </w:pPr>
      <w:r>
        <w:rPr>
          <w:rFonts w:hint="eastAsia" w:ascii="方正仿宋_GBK" w:hAnsi="方正仿宋_GBK" w:eastAsia="方正仿宋_GBK" w:cs="方正仿宋_GBK"/>
          <w:b w:val="0"/>
          <w:bCs w:val="0"/>
          <w:snapToGrid/>
          <w:kern w:val="2"/>
          <w:sz w:val="32"/>
          <w:szCs w:val="32"/>
          <w:lang w:val="en-US" w:eastAsia="zh-CN"/>
        </w:rPr>
        <w:t>第五条 县政府国资委建立完善投资监管联动机制，发挥战略规划、法律合规、财务监督、产权管理、考核分配、资本运营、干部管理，配合发挥监督稽查、纪检监察、巡视巡察审计等相关监管职能合力，实现对企业投资活动监管全覆盖，及时发现投资风险，防止投资损失。</w:t>
      </w:r>
    </w:p>
    <w:p w14:paraId="76EE6646">
      <w:pPr>
        <w:keepNext w:val="0"/>
        <w:keepLines w:val="0"/>
        <w:pageBreakBefore w:val="0"/>
        <w:widowControl w:val="0"/>
        <w:suppressLineNumbers w:val="0"/>
        <w:kinsoku/>
        <w:wordWrap/>
        <w:overflowPunct/>
        <w:topLinePunct w:val="0"/>
        <w:autoSpaceDE/>
        <w:autoSpaceDN/>
        <w:bidi w:val="0"/>
        <w:adjustRightInd/>
        <w:snapToGrid/>
        <w:spacing w:line="576" w:lineRule="exact"/>
        <w:jc w:val="center"/>
        <w:textAlignment w:val="auto"/>
        <w:rPr>
          <w:rFonts w:hint="eastAsia" w:ascii="方正黑体_GBK" w:hAnsi="方正黑体_GBK" w:eastAsia="方正黑体_GBK" w:cs="方正黑体_GBK"/>
          <w:b w:val="0"/>
          <w:i w:val="0"/>
          <w:snapToGrid/>
          <w:spacing w:val="7"/>
          <w:kern w:val="0"/>
          <w:sz w:val="32"/>
          <w:szCs w:val="32"/>
          <w:u w:val="none"/>
          <w:lang w:val="en-US" w:eastAsia="zh-CN" w:bidi="ar"/>
        </w:rPr>
      </w:pPr>
      <w:r>
        <w:rPr>
          <w:rFonts w:hint="eastAsia" w:ascii="方正黑体_GBK" w:hAnsi="方正黑体_GBK" w:eastAsia="方正黑体_GBK" w:cs="方正黑体_GBK"/>
          <w:b w:val="0"/>
          <w:i w:val="0"/>
          <w:snapToGrid/>
          <w:spacing w:val="7"/>
          <w:kern w:val="0"/>
          <w:sz w:val="32"/>
          <w:szCs w:val="32"/>
          <w:u w:val="none"/>
          <w:lang w:val="en-US" w:eastAsia="zh-CN" w:bidi="ar"/>
        </w:rPr>
        <w:t>第二章 投资事前管理</w:t>
      </w:r>
    </w:p>
    <w:p w14:paraId="70DB1CAE">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576" w:lineRule="exact"/>
        <w:ind w:firstLine="640"/>
        <w:jc w:val="left"/>
        <w:textAlignment w:val="auto"/>
        <w:rPr>
          <w:rFonts w:hint="eastAsia" w:ascii="方正仿宋_GBK" w:hAnsi="方正仿宋_GBK" w:eastAsia="方正仿宋_GBK" w:cs="方正仿宋_GBK"/>
          <w:b w:val="0"/>
          <w:bCs w:val="0"/>
          <w:snapToGrid/>
          <w:kern w:val="2"/>
          <w:sz w:val="32"/>
          <w:szCs w:val="32"/>
          <w:lang w:val="en-US" w:eastAsia="zh-CN"/>
        </w:rPr>
      </w:pPr>
      <w:r>
        <w:rPr>
          <w:rFonts w:hint="eastAsia" w:ascii="方正仿宋_GBK" w:hAnsi="方正仿宋_GBK" w:eastAsia="方正仿宋_GBK" w:cs="方正仿宋_GBK"/>
          <w:b w:val="0"/>
          <w:bCs w:val="0"/>
          <w:snapToGrid/>
          <w:kern w:val="2"/>
          <w:sz w:val="32"/>
          <w:szCs w:val="32"/>
          <w:lang w:val="en-US" w:eastAsia="zh-CN"/>
        </w:rPr>
        <w:t>第六条 县属国有企业应当依据其发展战略和规划编制年度投资计划，投资计划要与企业年度财务预算相衔接。年度投资规模应与合理的资产负债水平相适应，每年1月31日前将履行决策程序后的年度投资计划报县政府国资委备案，未纳入年度投资计划的投资项目原则上不得投资，的确需追加投资项目的，分别于每年6月底、9月底前可调整一次，投资计划及原因说明需报县政府国资委备案。年度投资计划应包括：</w:t>
      </w:r>
    </w:p>
    <w:p w14:paraId="79F1F643">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576" w:lineRule="exact"/>
        <w:ind w:firstLine="640"/>
        <w:jc w:val="left"/>
        <w:textAlignment w:val="auto"/>
        <w:rPr>
          <w:rFonts w:hint="eastAsia" w:ascii="方正仿宋_GBK" w:hAnsi="方正仿宋_GBK" w:eastAsia="方正仿宋_GBK" w:cs="方正仿宋_GBK"/>
          <w:b w:val="0"/>
          <w:bCs w:val="0"/>
          <w:snapToGrid/>
          <w:kern w:val="2"/>
          <w:sz w:val="32"/>
          <w:szCs w:val="32"/>
          <w:lang w:val="en-US" w:eastAsia="zh-CN"/>
        </w:rPr>
      </w:pPr>
      <w:r>
        <w:rPr>
          <w:rFonts w:hint="eastAsia" w:ascii="方正仿宋_GBK" w:hAnsi="方正仿宋_GBK" w:eastAsia="方正仿宋_GBK" w:cs="方正仿宋_GBK"/>
          <w:b w:val="0"/>
          <w:bCs w:val="0"/>
          <w:snapToGrid/>
          <w:kern w:val="2"/>
          <w:sz w:val="32"/>
          <w:szCs w:val="32"/>
          <w:lang w:val="en-US" w:eastAsia="zh-CN"/>
        </w:rPr>
        <w:t>（一）投资主要方向和目的；</w:t>
      </w:r>
    </w:p>
    <w:p w14:paraId="32FEE463">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576" w:lineRule="exact"/>
        <w:ind w:firstLine="640"/>
        <w:jc w:val="left"/>
        <w:textAlignment w:val="auto"/>
        <w:rPr>
          <w:rFonts w:hint="eastAsia" w:ascii="方正仿宋_GBK" w:hAnsi="方正仿宋_GBK" w:eastAsia="方正仿宋_GBK" w:cs="方正仿宋_GBK"/>
          <w:b w:val="0"/>
          <w:bCs w:val="0"/>
          <w:snapToGrid/>
          <w:kern w:val="2"/>
          <w:sz w:val="32"/>
          <w:szCs w:val="32"/>
          <w:lang w:val="en-US" w:eastAsia="zh-CN"/>
        </w:rPr>
      </w:pPr>
      <w:r>
        <w:rPr>
          <w:rFonts w:hint="eastAsia" w:ascii="方正仿宋_GBK" w:hAnsi="方正仿宋_GBK" w:eastAsia="方正仿宋_GBK" w:cs="方正仿宋_GBK"/>
          <w:b w:val="0"/>
          <w:bCs w:val="0"/>
          <w:snapToGrid/>
          <w:kern w:val="2"/>
          <w:sz w:val="32"/>
          <w:szCs w:val="32"/>
          <w:lang w:val="en-US" w:eastAsia="zh-CN"/>
        </w:rPr>
        <w:t>（二）年度投资规模；</w:t>
      </w:r>
    </w:p>
    <w:p w14:paraId="665F5B4D">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576" w:lineRule="exact"/>
        <w:ind w:firstLine="640"/>
        <w:jc w:val="left"/>
        <w:textAlignment w:val="auto"/>
        <w:rPr>
          <w:rFonts w:hint="eastAsia" w:ascii="方正仿宋_GBK" w:hAnsi="方正仿宋_GBK" w:eastAsia="方正仿宋_GBK" w:cs="方正仿宋_GBK"/>
          <w:b w:val="0"/>
          <w:bCs w:val="0"/>
          <w:snapToGrid/>
          <w:kern w:val="2"/>
          <w:sz w:val="32"/>
          <w:szCs w:val="32"/>
          <w:lang w:val="en-US" w:eastAsia="zh-CN"/>
        </w:rPr>
      </w:pPr>
      <w:r>
        <w:rPr>
          <w:rFonts w:hint="eastAsia" w:ascii="方正仿宋_GBK" w:hAnsi="方正仿宋_GBK" w:eastAsia="方正仿宋_GBK" w:cs="方正仿宋_GBK"/>
          <w:b w:val="0"/>
          <w:bCs w:val="0"/>
          <w:snapToGrid/>
          <w:kern w:val="2"/>
          <w:sz w:val="32"/>
          <w:szCs w:val="32"/>
          <w:lang w:val="en-US" w:eastAsia="zh-CN"/>
        </w:rPr>
        <w:t>（三）资金来源与构成(如需要融资，提供计划);</w:t>
      </w:r>
    </w:p>
    <w:p w14:paraId="3FBBE596">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576" w:lineRule="exact"/>
        <w:ind w:firstLine="640"/>
        <w:jc w:val="left"/>
        <w:textAlignment w:val="auto"/>
        <w:rPr>
          <w:rFonts w:hint="eastAsia" w:ascii="方正仿宋_GBK" w:hAnsi="方正仿宋_GBK" w:eastAsia="方正仿宋_GBK" w:cs="方正仿宋_GBK"/>
          <w:b w:val="0"/>
          <w:bCs w:val="0"/>
          <w:snapToGrid/>
          <w:kern w:val="2"/>
          <w:sz w:val="32"/>
          <w:szCs w:val="32"/>
          <w:lang w:val="en-US" w:eastAsia="zh-CN"/>
        </w:rPr>
      </w:pPr>
      <w:r>
        <w:rPr>
          <w:rFonts w:hint="eastAsia" w:ascii="方正仿宋_GBK" w:hAnsi="方正仿宋_GBK" w:eastAsia="方正仿宋_GBK" w:cs="方正仿宋_GBK"/>
          <w:b w:val="0"/>
          <w:bCs w:val="0"/>
          <w:snapToGrid/>
          <w:kern w:val="2"/>
          <w:sz w:val="32"/>
          <w:szCs w:val="32"/>
          <w:lang w:val="en-US" w:eastAsia="zh-CN"/>
        </w:rPr>
        <w:t>（四）投资前后资产负债率水平；</w:t>
      </w:r>
    </w:p>
    <w:p w14:paraId="2EBE09DF">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576" w:lineRule="exact"/>
        <w:ind w:firstLine="640"/>
        <w:jc w:val="left"/>
        <w:textAlignment w:val="auto"/>
        <w:rPr>
          <w:rFonts w:hint="eastAsia" w:ascii="方正仿宋_GBK" w:hAnsi="方正仿宋_GBK" w:eastAsia="方正仿宋_GBK" w:cs="方正仿宋_GBK"/>
          <w:b w:val="0"/>
          <w:bCs w:val="0"/>
          <w:snapToGrid/>
          <w:kern w:val="2"/>
          <w:sz w:val="32"/>
          <w:szCs w:val="32"/>
          <w:lang w:val="en-US" w:eastAsia="zh-CN"/>
        </w:rPr>
      </w:pPr>
      <w:r>
        <w:rPr>
          <w:rFonts w:hint="eastAsia" w:ascii="方正仿宋_GBK" w:hAnsi="方正仿宋_GBK" w:eastAsia="方正仿宋_GBK" w:cs="方正仿宋_GBK"/>
          <w:b w:val="0"/>
          <w:bCs w:val="0"/>
          <w:snapToGrid/>
          <w:kern w:val="2"/>
          <w:sz w:val="32"/>
          <w:szCs w:val="32"/>
          <w:lang w:val="en-US" w:eastAsia="zh-CN"/>
        </w:rPr>
        <w:t>（五）投资项目基本情况表(包括项目内容、投资额度、资金来源、实施年限、年度计划完成投资额度等);</w:t>
      </w:r>
    </w:p>
    <w:p w14:paraId="752B82F2">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576" w:lineRule="exact"/>
        <w:ind w:firstLine="640"/>
        <w:jc w:val="left"/>
        <w:textAlignment w:val="auto"/>
        <w:rPr>
          <w:rFonts w:hint="eastAsia" w:ascii="方正仿宋_GBK" w:hAnsi="方正仿宋_GBK" w:eastAsia="方正仿宋_GBK" w:cs="方正仿宋_GBK"/>
          <w:b w:val="0"/>
          <w:bCs w:val="0"/>
          <w:snapToGrid/>
          <w:kern w:val="2"/>
          <w:sz w:val="32"/>
          <w:szCs w:val="32"/>
          <w:lang w:val="en-US" w:eastAsia="zh-CN"/>
        </w:rPr>
      </w:pPr>
      <w:r>
        <w:rPr>
          <w:rFonts w:hint="eastAsia" w:ascii="方正仿宋_GBK" w:hAnsi="方正仿宋_GBK" w:eastAsia="方正仿宋_GBK" w:cs="方正仿宋_GBK"/>
          <w:b w:val="0"/>
          <w:bCs w:val="0"/>
          <w:snapToGrid/>
          <w:kern w:val="2"/>
          <w:sz w:val="32"/>
          <w:szCs w:val="32"/>
          <w:lang w:val="en-US" w:eastAsia="zh-CN"/>
        </w:rPr>
        <w:t>（六）投资计划项目汇总表；</w:t>
      </w:r>
    </w:p>
    <w:p w14:paraId="5A355E06">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576" w:lineRule="exact"/>
        <w:ind w:firstLine="640"/>
        <w:jc w:val="left"/>
        <w:textAlignment w:val="auto"/>
        <w:rPr>
          <w:rFonts w:hint="eastAsia" w:ascii="方正仿宋_GBK" w:hAnsi="方正仿宋_GBK" w:eastAsia="方正仿宋_GBK" w:cs="方正仿宋_GBK"/>
          <w:b w:val="0"/>
          <w:bCs w:val="0"/>
          <w:snapToGrid/>
          <w:kern w:val="2"/>
          <w:sz w:val="32"/>
          <w:szCs w:val="32"/>
          <w:lang w:val="en-US" w:eastAsia="zh-CN"/>
        </w:rPr>
      </w:pPr>
      <w:r>
        <w:rPr>
          <w:rFonts w:hint="eastAsia" w:ascii="方正仿宋_GBK" w:hAnsi="方正仿宋_GBK" w:eastAsia="方正仿宋_GBK" w:cs="方正仿宋_GBK"/>
          <w:b w:val="0"/>
          <w:bCs w:val="0"/>
          <w:snapToGrid/>
          <w:kern w:val="2"/>
          <w:sz w:val="32"/>
          <w:szCs w:val="32"/>
          <w:lang w:val="en-US" w:eastAsia="zh-CN"/>
        </w:rPr>
        <w:t>（七）投资计划明细表；</w:t>
      </w:r>
    </w:p>
    <w:p w14:paraId="32ECF4B2">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576" w:lineRule="exact"/>
        <w:ind w:firstLine="640"/>
        <w:jc w:val="left"/>
        <w:textAlignment w:val="auto"/>
        <w:rPr>
          <w:rFonts w:hint="eastAsia" w:ascii="方正仿宋_GBK" w:hAnsi="方正仿宋_GBK" w:eastAsia="方正仿宋_GBK" w:cs="方正仿宋_GBK"/>
          <w:b w:val="0"/>
          <w:bCs w:val="0"/>
          <w:snapToGrid/>
          <w:kern w:val="2"/>
          <w:sz w:val="32"/>
          <w:szCs w:val="32"/>
          <w:lang w:val="en-US" w:eastAsia="zh-CN"/>
        </w:rPr>
      </w:pPr>
      <w:r>
        <w:rPr>
          <w:rFonts w:hint="eastAsia" w:ascii="方正仿宋_GBK" w:hAnsi="方正仿宋_GBK" w:eastAsia="方正仿宋_GBK" w:cs="方正仿宋_GBK"/>
          <w:b w:val="0"/>
          <w:bCs w:val="0"/>
          <w:snapToGrid/>
          <w:kern w:val="2"/>
          <w:sz w:val="32"/>
          <w:szCs w:val="32"/>
          <w:lang w:val="en-US" w:eastAsia="zh-CN"/>
        </w:rPr>
        <w:t>（八）项目出资企业上一年度财务报表(资产负债表、损益表、现金流量表)；</w:t>
      </w:r>
    </w:p>
    <w:p w14:paraId="18A3FDAF">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576" w:lineRule="exact"/>
        <w:ind w:firstLine="640"/>
        <w:jc w:val="left"/>
        <w:textAlignment w:val="auto"/>
        <w:rPr>
          <w:rFonts w:hint="eastAsia" w:ascii="方正仿宋_GBK" w:hAnsi="方正仿宋_GBK" w:eastAsia="方正仿宋_GBK" w:cs="方正仿宋_GBK"/>
          <w:b w:val="0"/>
          <w:bCs w:val="0"/>
          <w:snapToGrid/>
          <w:kern w:val="2"/>
          <w:sz w:val="32"/>
          <w:szCs w:val="32"/>
          <w:lang w:val="en-US" w:eastAsia="zh-CN"/>
        </w:rPr>
      </w:pPr>
      <w:r>
        <w:rPr>
          <w:rFonts w:hint="eastAsia" w:ascii="方正仿宋_GBK" w:hAnsi="方正仿宋_GBK" w:eastAsia="方正仿宋_GBK" w:cs="方正仿宋_GBK"/>
          <w:b w:val="0"/>
          <w:bCs w:val="0"/>
          <w:snapToGrid/>
          <w:kern w:val="2"/>
          <w:sz w:val="32"/>
          <w:szCs w:val="32"/>
          <w:lang w:val="en-US" w:eastAsia="zh-CN"/>
        </w:rPr>
        <w:t>（九）投资规模；</w:t>
      </w:r>
    </w:p>
    <w:p w14:paraId="7DB077E4">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576" w:lineRule="exact"/>
        <w:ind w:firstLine="640"/>
        <w:jc w:val="left"/>
        <w:textAlignment w:val="auto"/>
        <w:rPr>
          <w:rFonts w:hint="eastAsia" w:ascii="方正仿宋_GBK" w:hAnsi="方正仿宋_GBK" w:eastAsia="方正仿宋_GBK" w:cs="方正仿宋_GBK"/>
          <w:b w:val="0"/>
          <w:bCs w:val="0"/>
          <w:snapToGrid/>
          <w:kern w:val="2"/>
          <w:sz w:val="32"/>
          <w:szCs w:val="32"/>
          <w:lang w:val="en-US" w:eastAsia="zh-CN"/>
        </w:rPr>
      </w:pPr>
      <w:r>
        <w:rPr>
          <w:rFonts w:hint="eastAsia" w:ascii="方正仿宋_GBK" w:hAnsi="方正仿宋_GBK" w:eastAsia="方正仿宋_GBK" w:cs="方正仿宋_GBK"/>
          <w:b w:val="0"/>
          <w:bCs w:val="0"/>
          <w:snapToGrid/>
          <w:kern w:val="2"/>
          <w:sz w:val="32"/>
          <w:szCs w:val="32"/>
          <w:lang w:val="en-US" w:eastAsia="zh-CN"/>
        </w:rPr>
        <w:t>（十）投资回报率；</w:t>
      </w:r>
    </w:p>
    <w:p w14:paraId="730F3295">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576" w:lineRule="exact"/>
        <w:ind w:firstLine="640"/>
        <w:jc w:val="left"/>
        <w:textAlignment w:val="auto"/>
        <w:rPr>
          <w:rFonts w:hint="eastAsia" w:ascii="方正仿宋_GBK" w:hAnsi="方正仿宋_GBK" w:eastAsia="方正仿宋_GBK" w:cs="方正仿宋_GBK"/>
          <w:b w:val="0"/>
          <w:bCs w:val="0"/>
          <w:snapToGrid/>
          <w:kern w:val="2"/>
          <w:sz w:val="32"/>
          <w:szCs w:val="32"/>
          <w:lang w:val="en-US" w:eastAsia="zh-CN"/>
        </w:rPr>
      </w:pPr>
      <w:r>
        <w:rPr>
          <w:rFonts w:hint="eastAsia" w:ascii="方正仿宋_GBK" w:hAnsi="方正仿宋_GBK" w:eastAsia="方正仿宋_GBK" w:cs="方正仿宋_GBK"/>
          <w:b w:val="0"/>
          <w:bCs w:val="0"/>
          <w:snapToGrid/>
          <w:kern w:val="2"/>
          <w:sz w:val="32"/>
          <w:szCs w:val="32"/>
          <w:lang w:val="en-US" w:eastAsia="zh-CN"/>
        </w:rPr>
        <w:t>（十一）其他需要说明的内容。</w:t>
      </w:r>
    </w:p>
    <w:p w14:paraId="23836334">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576" w:lineRule="exact"/>
        <w:ind w:firstLine="640"/>
        <w:jc w:val="left"/>
        <w:textAlignment w:val="auto"/>
        <w:rPr>
          <w:rFonts w:hint="eastAsia" w:ascii="方正仿宋_GBK" w:hAnsi="方正仿宋_GBK" w:eastAsia="方正仿宋_GBK" w:cs="方正仿宋_GBK"/>
          <w:b w:val="0"/>
          <w:bCs w:val="0"/>
          <w:snapToGrid/>
          <w:kern w:val="2"/>
          <w:sz w:val="32"/>
          <w:szCs w:val="32"/>
          <w:lang w:val="en-US" w:eastAsia="zh-CN"/>
        </w:rPr>
      </w:pPr>
      <w:r>
        <w:rPr>
          <w:rFonts w:hint="eastAsia" w:ascii="方正仿宋_GBK" w:hAnsi="方正仿宋_GBK" w:eastAsia="方正仿宋_GBK" w:cs="方正仿宋_GBK"/>
          <w:b w:val="0"/>
          <w:bCs w:val="0"/>
          <w:snapToGrid/>
          <w:kern w:val="2"/>
          <w:sz w:val="32"/>
          <w:szCs w:val="32"/>
          <w:lang w:val="en-US" w:eastAsia="zh-CN"/>
        </w:rPr>
        <w:t>第七条 县政府国资委根据有关规定和监管要求，制定发布县属国有企业投资项目负面清单，设定禁止类和特别监管类投资项目，实行分类监管。负面清单的内容保持相对稳定并适时动态调整。</w:t>
      </w:r>
    </w:p>
    <w:p w14:paraId="3AA18E0A">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576" w:lineRule="exact"/>
        <w:ind w:firstLine="640"/>
        <w:jc w:val="left"/>
        <w:textAlignment w:val="auto"/>
        <w:rPr>
          <w:rFonts w:hint="eastAsia" w:ascii="方正仿宋_GBK" w:hAnsi="方正仿宋_GBK" w:eastAsia="方正仿宋_GBK" w:cs="方正仿宋_GBK"/>
          <w:b w:val="0"/>
          <w:bCs w:val="0"/>
          <w:snapToGrid/>
          <w:kern w:val="2"/>
          <w:sz w:val="32"/>
          <w:szCs w:val="32"/>
          <w:lang w:val="en-US" w:eastAsia="zh-CN"/>
        </w:rPr>
      </w:pPr>
      <w:r>
        <w:rPr>
          <w:rFonts w:hint="eastAsia" w:ascii="方正仿宋_GBK" w:hAnsi="方正仿宋_GBK" w:eastAsia="方正仿宋_GBK" w:cs="方正仿宋_GBK"/>
          <w:b w:val="0"/>
          <w:bCs w:val="0"/>
          <w:snapToGrid/>
          <w:kern w:val="2"/>
          <w:sz w:val="32"/>
          <w:szCs w:val="32"/>
          <w:lang w:val="en-US" w:eastAsia="zh-CN"/>
        </w:rPr>
        <w:t>列入负面清单禁止类的投资项目，一律不得投资；</w:t>
      </w:r>
    </w:p>
    <w:p w14:paraId="67466F7D">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576" w:lineRule="exact"/>
        <w:ind w:firstLine="640"/>
        <w:jc w:val="left"/>
        <w:textAlignment w:val="auto"/>
        <w:rPr>
          <w:rFonts w:hint="eastAsia" w:ascii="方正仿宋_GBK" w:hAnsi="方正仿宋_GBK" w:eastAsia="方正仿宋_GBK" w:cs="方正仿宋_GBK"/>
          <w:b w:val="0"/>
          <w:bCs w:val="0"/>
          <w:snapToGrid/>
          <w:kern w:val="2"/>
          <w:sz w:val="32"/>
          <w:szCs w:val="32"/>
          <w:lang w:val="en-US" w:eastAsia="zh-CN"/>
        </w:rPr>
      </w:pPr>
      <w:r>
        <w:rPr>
          <w:rFonts w:hint="eastAsia" w:ascii="方正仿宋_GBK" w:hAnsi="方正仿宋_GBK" w:eastAsia="方正仿宋_GBK" w:cs="方正仿宋_GBK"/>
          <w:b w:val="0"/>
          <w:bCs w:val="0"/>
          <w:snapToGrid/>
          <w:kern w:val="2"/>
          <w:sz w:val="32"/>
          <w:szCs w:val="32"/>
          <w:lang w:val="en-US" w:eastAsia="zh-CN"/>
        </w:rPr>
        <w:t>列入负面清单特别监管类的投资项目和未列入负面清单但达到一定限额标准的投资项目均由县属国有企业按照程序报批；</w:t>
      </w:r>
    </w:p>
    <w:p w14:paraId="734FA2F1">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576" w:lineRule="exact"/>
        <w:ind w:firstLine="640"/>
        <w:jc w:val="left"/>
        <w:textAlignment w:val="auto"/>
        <w:rPr>
          <w:rFonts w:hint="eastAsia" w:ascii="方正仿宋_GBK" w:hAnsi="方正仿宋_GBK" w:eastAsia="方正仿宋_GBK" w:cs="方正仿宋_GBK"/>
          <w:b w:val="0"/>
          <w:bCs w:val="0"/>
          <w:snapToGrid/>
          <w:kern w:val="2"/>
          <w:sz w:val="32"/>
          <w:szCs w:val="32"/>
          <w:lang w:val="en-US" w:eastAsia="zh-CN"/>
        </w:rPr>
      </w:pPr>
      <w:r>
        <w:rPr>
          <w:rFonts w:hint="eastAsia" w:ascii="方正仿宋_GBK" w:hAnsi="方正仿宋_GBK" w:eastAsia="方正仿宋_GBK" w:cs="方正仿宋_GBK"/>
          <w:b w:val="0"/>
          <w:bCs w:val="0"/>
          <w:snapToGrid/>
          <w:kern w:val="2"/>
          <w:sz w:val="32"/>
          <w:szCs w:val="32"/>
          <w:lang w:val="en-US" w:eastAsia="zh-CN"/>
        </w:rPr>
        <w:t>负面清单之外的投资项目，由企业依法依规自主决策后实行备案。</w:t>
      </w:r>
    </w:p>
    <w:p w14:paraId="23CCB453">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576" w:lineRule="exact"/>
        <w:ind w:firstLine="640"/>
        <w:jc w:val="left"/>
        <w:textAlignment w:val="auto"/>
        <w:rPr>
          <w:rFonts w:hint="eastAsia" w:ascii="方正仿宋_GBK" w:hAnsi="方正仿宋_GBK" w:eastAsia="方正仿宋_GBK" w:cs="方正仿宋_GBK"/>
          <w:b w:val="0"/>
          <w:bCs w:val="0"/>
          <w:snapToGrid/>
          <w:kern w:val="2"/>
          <w:sz w:val="32"/>
          <w:szCs w:val="32"/>
          <w:lang w:val="en-US" w:eastAsia="zh-CN"/>
        </w:rPr>
      </w:pPr>
      <w:r>
        <w:rPr>
          <w:rFonts w:hint="eastAsia" w:ascii="方正仿宋_GBK" w:hAnsi="方正仿宋_GBK" w:eastAsia="方正仿宋_GBK" w:cs="方正仿宋_GBK"/>
          <w:b w:val="0"/>
          <w:bCs w:val="0"/>
          <w:snapToGrid/>
          <w:kern w:val="2"/>
          <w:sz w:val="32"/>
          <w:szCs w:val="32"/>
          <w:lang w:val="en-US" w:eastAsia="zh-CN"/>
        </w:rPr>
        <w:t>（一）投资金额在50-100万元（含）的项目，报县政府国资委（国企党工委）审批。</w:t>
      </w:r>
    </w:p>
    <w:p w14:paraId="0816F62B">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576" w:lineRule="exact"/>
        <w:ind w:firstLine="640"/>
        <w:jc w:val="left"/>
        <w:textAlignment w:val="auto"/>
        <w:rPr>
          <w:rFonts w:hint="eastAsia" w:ascii="方正仿宋_GBK" w:hAnsi="方正仿宋_GBK" w:eastAsia="方正仿宋_GBK" w:cs="方正仿宋_GBK"/>
          <w:b w:val="0"/>
          <w:bCs w:val="0"/>
          <w:snapToGrid/>
          <w:kern w:val="2"/>
          <w:sz w:val="32"/>
          <w:szCs w:val="32"/>
          <w:lang w:val="en-US" w:eastAsia="zh-CN"/>
        </w:rPr>
      </w:pPr>
      <w:r>
        <w:rPr>
          <w:rFonts w:hint="eastAsia" w:ascii="方正仿宋_GBK" w:hAnsi="方正仿宋_GBK" w:eastAsia="方正仿宋_GBK" w:cs="方正仿宋_GBK"/>
          <w:b w:val="0"/>
          <w:bCs w:val="0"/>
          <w:snapToGrid/>
          <w:kern w:val="2"/>
          <w:sz w:val="32"/>
          <w:szCs w:val="32"/>
          <w:lang w:val="en-US" w:eastAsia="zh-CN"/>
        </w:rPr>
        <w:t>（二）对投资金额在100万元（不含）以上的项目，经县政府国资委（国企党工委）初审后，提交县政府审核，报县委审批。</w:t>
      </w:r>
    </w:p>
    <w:p w14:paraId="69B04C22">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576" w:lineRule="exact"/>
        <w:ind w:firstLine="640"/>
        <w:jc w:val="left"/>
        <w:textAlignment w:val="auto"/>
        <w:rPr>
          <w:rFonts w:hint="eastAsia" w:ascii="方正仿宋_GBK" w:hAnsi="方正仿宋_GBK" w:eastAsia="方正仿宋_GBK" w:cs="方正仿宋_GBK"/>
          <w:b w:val="0"/>
          <w:bCs w:val="0"/>
          <w:snapToGrid/>
          <w:kern w:val="2"/>
          <w:sz w:val="32"/>
          <w:szCs w:val="32"/>
          <w:lang w:val="en-US" w:eastAsia="zh-CN"/>
        </w:rPr>
      </w:pPr>
      <w:r>
        <w:rPr>
          <w:rFonts w:hint="eastAsia" w:ascii="方正仿宋_GBK" w:hAnsi="方正仿宋_GBK" w:eastAsia="方正仿宋_GBK" w:cs="方正仿宋_GBK"/>
          <w:b w:val="0"/>
          <w:bCs w:val="0"/>
          <w:snapToGrid/>
          <w:kern w:val="2"/>
          <w:sz w:val="32"/>
          <w:szCs w:val="32"/>
          <w:lang w:val="en-US" w:eastAsia="zh-CN"/>
        </w:rPr>
        <w:t>第八条 对需要审批的投资项目，县属国有企业应在履行完企业内部决策程序后、项目实施前向县政府国资委提交以下材料：</w:t>
      </w:r>
    </w:p>
    <w:p w14:paraId="7097A05D">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576" w:lineRule="exact"/>
        <w:ind w:firstLine="640"/>
        <w:jc w:val="left"/>
        <w:textAlignment w:val="auto"/>
        <w:rPr>
          <w:rFonts w:hint="eastAsia" w:ascii="方正仿宋_GBK" w:hAnsi="方正仿宋_GBK" w:eastAsia="方正仿宋_GBK" w:cs="方正仿宋_GBK"/>
          <w:b w:val="0"/>
          <w:bCs w:val="0"/>
          <w:snapToGrid/>
          <w:kern w:val="2"/>
          <w:sz w:val="32"/>
          <w:szCs w:val="32"/>
          <w:lang w:val="en-US" w:eastAsia="zh-CN"/>
        </w:rPr>
      </w:pPr>
      <w:r>
        <w:rPr>
          <w:rFonts w:hint="eastAsia" w:ascii="方正仿宋_GBK" w:hAnsi="方正仿宋_GBK" w:eastAsia="方正仿宋_GBK" w:cs="方正仿宋_GBK"/>
          <w:b w:val="0"/>
          <w:bCs w:val="0"/>
          <w:snapToGrid/>
          <w:kern w:val="2"/>
          <w:sz w:val="32"/>
          <w:szCs w:val="32"/>
          <w:lang w:val="en-US" w:eastAsia="zh-CN"/>
        </w:rPr>
        <w:t>（一）《县属国有企业投资项目材料受理表》（样式见表一和表二）；</w:t>
      </w:r>
    </w:p>
    <w:p w14:paraId="2FA3B535">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576" w:lineRule="exact"/>
        <w:ind w:firstLine="640"/>
        <w:jc w:val="left"/>
        <w:textAlignment w:val="auto"/>
        <w:rPr>
          <w:rFonts w:hint="eastAsia" w:ascii="方正仿宋_GBK" w:hAnsi="方正仿宋_GBK" w:eastAsia="方正仿宋_GBK" w:cs="方正仿宋_GBK"/>
          <w:b w:val="0"/>
          <w:bCs w:val="0"/>
          <w:snapToGrid/>
          <w:kern w:val="2"/>
          <w:sz w:val="32"/>
          <w:szCs w:val="32"/>
          <w:lang w:val="en-US" w:eastAsia="zh-CN"/>
        </w:rPr>
      </w:pPr>
      <w:r>
        <w:rPr>
          <w:rFonts w:hint="eastAsia" w:ascii="方正仿宋_GBK" w:hAnsi="方正仿宋_GBK" w:eastAsia="方正仿宋_GBK" w:cs="方正仿宋_GBK"/>
          <w:b w:val="0"/>
          <w:bCs w:val="0"/>
          <w:snapToGrid/>
          <w:kern w:val="2"/>
          <w:sz w:val="32"/>
          <w:szCs w:val="32"/>
          <w:lang w:val="en-US" w:eastAsia="zh-CN"/>
        </w:rPr>
        <w:t>（二）县属国有企业总经理会、董事会、党支部会议决议及会议记录复印件；</w:t>
      </w:r>
    </w:p>
    <w:p w14:paraId="2E2ED690">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576" w:lineRule="exact"/>
        <w:ind w:firstLine="640"/>
        <w:jc w:val="left"/>
        <w:textAlignment w:val="auto"/>
        <w:rPr>
          <w:rFonts w:hint="eastAsia" w:ascii="方正仿宋_GBK" w:hAnsi="方正仿宋_GBK" w:eastAsia="方正仿宋_GBK" w:cs="方正仿宋_GBK"/>
          <w:b w:val="0"/>
          <w:bCs w:val="0"/>
          <w:snapToGrid/>
          <w:kern w:val="2"/>
          <w:sz w:val="32"/>
          <w:szCs w:val="32"/>
          <w:lang w:val="en-US" w:eastAsia="zh-CN"/>
        </w:rPr>
      </w:pPr>
      <w:r>
        <w:rPr>
          <w:rFonts w:hint="eastAsia" w:ascii="方正仿宋_GBK" w:hAnsi="方正仿宋_GBK" w:eastAsia="方正仿宋_GBK" w:cs="方正仿宋_GBK"/>
          <w:b w:val="0"/>
          <w:bCs w:val="0"/>
          <w:snapToGrid/>
          <w:kern w:val="2"/>
          <w:sz w:val="32"/>
          <w:szCs w:val="32"/>
          <w:lang w:val="en-US" w:eastAsia="zh-CN"/>
        </w:rPr>
        <w:t>（三）提交总经理会、董事会、党支部会议审议的资料；包括但不限于：议案，可行性研究报告或尽职调查报告等同类材料及论证意见，法律顾问出具的法律审核意见书，被投资方的财务报表，有关投资合作方的情况介绍和证明文件，拟签订的投资协议(合同)的主要条款；</w:t>
      </w:r>
    </w:p>
    <w:p w14:paraId="35195CB6">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576" w:lineRule="exact"/>
        <w:ind w:firstLine="640"/>
        <w:jc w:val="left"/>
        <w:textAlignment w:val="auto"/>
        <w:rPr>
          <w:rFonts w:hint="eastAsia" w:ascii="方正仿宋_GBK" w:hAnsi="方正仿宋_GBK" w:eastAsia="方正仿宋_GBK" w:cs="方正仿宋_GBK"/>
          <w:b w:val="0"/>
          <w:bCs w:val="0"/>
          <w:snapToGrid/>
          <w:kern w:val="2"/>
          <w:sz w:val="32"/>
          <w:szCs w:val="32"/>
          <w:lang w:val="en-US" w:eastAsia="zh-CN"/>
        </w:rPr>
      </w:pPr>
      <w:r>
        <w:rPr>
          <w:rFonts w:hint="eastAsia" w:ascii="方正仿宋_GBK" w:hAnsi="方正仿宋_GBK" w:eastAsia="方正仿宋_GBK" w:cs="方正仿宋_GBK"/>
          <w:b w:val="0"/>
          <w:bCs w:val="0"/>
          <w:snapToGrid/>
          <w:kern w:val="2"/>
          <w:sz w:val="32"/>
          <w:szCs w:val="32"/>
          <w:lang w:val="en-US" w:eastAsia="zh-CN"/>
        </w:rPr>
        <w:t>（四）投资涉及财务审计、资产评估事项的，应提交相应审计报告、评估报告及备案表(或有关审核材料)。</w:t>
      </w:r>
    </w:p>
    <w:p w14:paraId="71E96874">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576" w:lineRule="exact"/>
        <w:ind w:firstLine="640"/>
        <w:jc w:val="left"/>
        <w:textAlignment w:val="auto"/>
        <w:rPr>
          <w:rFonts w:hint="eastAsia" w:ascii="方正仿宋_GBK" w:hAnsi="方正仿宋_GBK" w:eastAsia="方正仿宋_GBK" w:cs="方正仿宋_GBK"/>
          <w:b w:val="0"/>
          <w:bCs w:val="0"/>
          <w:snapToGrid/>
          <w:kern w:val="2"/>
          <w:sz w:val="32"/>
          <w:szCs w:val="32"/>
          <w:lang w:val="en-US" w:eastAsia="zh-CN"/>
        </w:rPr>
      </w:pPr>
      <w:r>
        <w:rPr>
          <w:rFonts w:hint="eastAsia" w:ascii="方正仿宋_GBK" w:hAnsi="方正仿宋_GBK" w:eastAsia="方正仿宋_GBK" w:cs="方正仿宋_GBK"/>
          <w:b w:val="0"/>
          <w:bCs w:val="0"/>
          <w:snapToGrid/>
          <w:kern w:val="2"/>
          <w:sz w:val="32"/>
          <w:szCs w:val="32"/>
          <w:lang w:val="en-US" w:eastAsia="zh-CN"/>
        </w:rPr>
        <w:t>（五）有资质的第三方咨询机构出具的风险分析及防范化解预案(有资质的第三方咨询机构出具可行性研究报告或尽职调查报告的除外)。</w:t>
      </w:r>
    </w:p>
    <w:p w14:paraId="505055FC">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576" w:lineRule="exact"/>
        <w:ind w:firstLine="640"/>
        <w:jc w:val="left"/>
        <w:textAlignment w:val="auto"/>
        <w:rPr>
          <w:rFonts w:hint="eastAsia" w:ascii="方正仿宋_GBK" w:hAnsi="方正仿宋_GBK" w:eastAsia="方正仿宋_GBK" w:cs="方正仿宋_GBK"/>
          <w:b w:val="0"/>
          <w:bCs w:val="0"/>
          <w:snapToGrid/>
          <w:kern w:val="2"/>
          <w:sz w:val="32"/>
          <w:szCs w:val="32"/>
          <w:lang w:val="en-US" w:eastAsia="zh-CN"/>
        </w:rPr>
      </w:pPr>
      <w:r>
        <w:rPr>
          <w:rFonts w:hint="eastAsia" w:ascii="方正仿宋_GBK" w:hAnsi="方正仿宋_GBK" w:eastAsia="方正仿宋_GBK" w:cs="方正仿宋_GBK"/>
          <w:b w:val="0"/>
          <w:bCs w:val="0"/>
          <w:snapToGrid/>
          <w:kern w:val="2"/>
          <w:sz w:val="32"/>
          <w:szCs w:val="32"/>
          <w:lang w:val="en-US" w:eastAsia="zh-CN"/>
        </w:rPr>
        <w:t>第九条 对需要审批的投资项目履行审核把关程序重点审核以下内容：</w:t>
      </w:r>
    </w:p>
    <w:p w14:paraId="6C4C7A3A">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576" w:lineRule="exact"/>
        <w:ind w:firstLine="640"/>
        <w:jc w:val="left"/>
        <w:textAlignment w:val="auto"/>
        <w:rPr>
          <w:rFonts w:hint="eastAsia" w:ascii="方正仿宋_GBK" w:hAnsi="方正仿宋_GBK" w:eastAsia="方正仿宋_GBK" w:cs="方正仿宋_GBK"/>
          <w:b w:val="0"/>
          <w:bCs w:val="0"/>
          <w:snapToGrid/>
          <w:kern w:val="2"/>
          <w:sz w:val="32"/>
          <w:szCs w:val="32"/>
          <w:lang w:val="en-US" w:eastAsia="zh-CN"/>
        </w:rPr>
      </w:pPr>
      <w:r>
        <w:rPr>
          <w:rFonts w:hint="eastAsia" w:ascii="方正仿宋_GBK" w:hAnsi="方正仿宋_GBK" w:eastAsia="方正仿宋_GBK" w:cs="方正仿宋_GBK"/>
          <w:b w:val="0"/>
          <w:bCs w:val="0"/>
          <w:snapToGrid/>
          <w:kern w:val="2"/>
          <w:sz w:val="32"/>
          <w:szCs w:val="32"/>
          <w:lang w:val="en-US" w:eastAsia="zh-CN"/>
        </w:rPr>
        <w:t>（一）是否符合国家法律法规和政策、企业发展战略规划，是否列入年度投资计划；</w:t>
      </w:r>
    </w:p>
    <w:p w14:paraId="64A30303">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576" w:lineRule="exact"/>
        <w:ind w:firstLine="640"/>
        <w:jc w:val="left"/>
        <w:textAlignment w:val="auto"/>
        <w:rPr>
          <w:rFonts w:hint="eastAsia" w:ascii="方正仿宋_GBK" w:hAnsi="方正仿宋_GBK" w:eastAsia="方正仿宋_GBK" w:cs="方正仿宋_GBK"/>
          <w:b w:val="0"/>
          <w:bCs w:val="0"/>
          <w:snapToGrid/>
          <w:kern w:val="2"/>
          <w:sz w:val="32"/>
          <w:szCs w:val="32"/>
          <w:lang w:val="en-US" w:eastAsia="zh-CN"/>
        </w:rPr>
      </w:pPr>
      <w:r>
        <w:rPr>
          <w:rFonts w:hint="eastAsia" w:ascii="方正仿宋_GBK" w:hAnsi="方正仿宋_GBK" w:eastAsia="方正仿宋_GBK" w:cs="方正仿宋_GBK"/>
          <w:b w:val="0"/>
          <w:bCs w:val="0"/>
          <w:snapToGrid/>
          <w:kern w:val="2"/>
          <w:sz w:val="32"/>
          <w:szCs w:val="32"/>
          <w:lang w:val="en-US" w:eastAsia="zh-CN"/>
        </w:rPr>
        <w:t>（二）投资项目实施的必要性、投资回报率以及对企业经营发展的影响程度；</w:t>
      </w:r>
    </w:p>
    <w:p w14:paraId="72A03CAA">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576" w:lineRule="exact"/>
        <w:ind w:firstLine="640"/>
        <w:jc w:val="left"/>
        <w:textAlignment w:val="auto"/>
        <w:rPr>
          <w:rFonts w:hint="eastAsia" w:ascii="方正仿宋_GBK" w:hAnsi="方正仿宋_GBK" w:eastAsia="方正仿宋_GBK" w:cs="方正仿宋_GBK"/>
          <w:b w:val="0"/>
          <w:bCs w:val="0"/>
          <w:snapToGrid/>
          <w:kern w:val="2"/>
          <w:sz w:val="32"/>
          <w:szCs w:val="32"/>
          <w:lang w:val="en-US" w:eastAsia="zh-CN"/>
        </w:rPr>
      </w:pPr>
      <w:r>
        <w:rPr>
          <w:rFonts w:hint="eastAsia" w:ascii="方正仿宋_GBK" w:hAnsi="方正仿宋_GBK" w:eastAsia="方正仿宋_GBK" w:cs="方正仿宋_GBK"/>
          <w:b w:val="0"/>
          <w:bCs w:val="0"/>
          <w:snapToGrid/>
          <w:kern w:val="2"/>
          <w:sz w:val="32"/>
          <w:szCs w:val="32"/>
          <w:lang w:val="en-US" w:eastAsia="zh-CN"/>
        </w:rPr>
        <w:t>（三）是否已进行市场分析和可行性论证；</w:t>
      </w:r>
    </w:p>
    <w:p w14:paraId="4664E1E4">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576" w:lineRule="exact"/>
        <w:ind w:firstLine="640"/>
        <w:jc w:val="left"/>
        <w:textAlignment w:val="auto"/>
        <w:rPr>
          <w:rFonts w:hint="eastAsia" w:ascii="方正仿宋_GBK" w:hAnsi="方正仿宋_GBK" w:eastAsia="方正仿宋_GBK" w:cs="方正仿宋_GBK"/>
          <w:b w:val="0"/>
          <w:bCs w:val="0"/>
          <w:snapToGrid/>
          <w:kern w:val="2"/>
          <w:sz w:val="32"/>
          <w:szCs w:val="32"/>
          <w:lang w:val="en-US" w:eastAsia="zh-CN"/>
        </w:rPr>
      </w:pPr>
      <w:r>
        <w:rPr>
          <w:rFonts w:hint="eastAsia" w:ascii="方正仿宋_GBK" w:hAnsi="方正仿宋_GBK" w:eastAsia="方正仿宋_GBK" w:cs="方正仿宋_GBK"/>
          <w:b w:val="0"/>
          <w:bCs w:val="0"/>
          <w:snapToGrid/>
          <w:kern w:val="2"/>
          <w:sz w:val="32"/>
          <w:szCs w:val="32"/>
          <w:lang w:val="en-US" w:eastAsia="zh-CN"/>
        </w:rPr>
        <w:t>（四）是否已进行风险分析及提出防范化解预案；</w:t>
      </w:r>
    </w:p>
    <w:p w14:paraId="76C4BF8F">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576" w:lineRule="exact"/>
        <w:ind w:firstLine="640"/>
        <w:jc w:val="left"/>
        <w:textAlignment w:val="auto"/>
        <w:rPr>
          <w:rFonts w:hint="eastAsia" w:ascii="方正仿宋_GBK" w:hAnsi="方正仿宋_GBK" w:eastAsia="方正仿宋_GBK" w:cs="方正仿宋_GBK"/>
          <w:b w:val="0"/>
          <w:bCs w:val="0"/>
          <w:snapToGrid/>
          <w:kern w:val="2"/>
          <w:sz w:val="32"/>
          <w:szCs w:val="32"/>
          <w:lang w:val="en-US" w:eastAsia="zh-CN"/>
        </w:rPr>
      </w:pPr>
      <w:r>
        <w:rPr>
          <w:rFonts w:hint="eastAsia" w:ascii="方正仿宋_GBK" w:hAnsi="方正仿宋_GBK" w:eastAsia="方正仿宋_GBK" w:cs="方正仿宋_GBK"/>
          <w:b w:val="0"/>
          <w:bCs w:val="0"/>
          <w:snapToGrid/>
          <w:kern w:val="2"/>
          <w:sz w:val="32"/>
          <w:szCs w:val="32"/>
          <w:lang w:val="en-US" w:eastAsia="zh-CN"/>
        </w:rPr>
        <w:t>（五）是否履行了规范的投资决策程序；</w:t>
      </w:r>
    </w:p>
    <w:p w14:paraId="496E209C">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576" w:lineRule="exact"/>
        <w:ind w:firstLine="640"/>
        <w:jc w:val="left"/>
        <w:textAlignment w:val="auto"/>
        <w:rPr>
          <w:rFonts w:hint="eastAsia" w:ascii="方正仿宋_GBK" w:hAnsi="方正仿宋_GBK" w:eastAsia="方正仿宋_GBK" w:cs="方正仿宋_GBK"/>
          <w:b w:val="0"/>
          <w:bCs w:val="0"/>
          <w:snapToGrid/>
          <w:kern w:val="2"/>
          <w:sz w:val="32"/>
          <w:szCs w:val="32"/>
          <w:lang w:val="en-US" w:eastAsia="zh-CN"/>
        </w:rPr>
      </w:pPr>
      <w:r>
        <w:rPr>
          <w:rFonts w:hint="eastAsia" w:ascii="方正仿宋_GBK" w:hAnsi="方正仿宋_GBK" w:eastAsia="方正仿宋_GBK" w:cs="方正仿宋_GBK"/>
          <w:b w:val="0"/>
          <w:bCs w:val="0"/>
          <w:snapToGrid/>
          <w:kern w:val="2"/>
          <w:sz w:val="32"/>
          <w:szCs w:val="32"/>
          <w:lang w:val="en-US" w:eastAsia="zh-CN"/>
        </w:rPr>
        <w:t>（六）有关协议是否存在损害国有资产权益的条款；</w:t>
      </w:r>
    </w:p>
    <w:p w14:paraId="17F0BD4D">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576" w:lineRule="exact"/>
        <w:ind w:firstLine="640"/>
        <w:jc w:val="left"/>
        <w:textAlignment w:val="auto"/>
        <w:rPr>
          <w:rFonts w:hint="eastAsia" w:ascii="方正仿宋_GBK" w:hAnsi="方正仿宋_GBK" w:eastAsia="方正仿宋_GBK" w:cs="方正仿宋_GBK"/>
          <w:b w:val="0"/>
          <w:bCs w:val="0"/>
          <w:snapToGrid/>
          <w:kern w:val="2"/>
          <w:sz w:val="32"/>
          <w:szCs w:val="32"/>
          <w:lang w:val="en-US" w:eastAsia="zh-CN"/>
        </w:rPr>
      </w:pPr>
      <w:r>
        <w:rPr>
          <w:rFonts w:hint="eastAsia" w:ascii="方正仿宋_GBK" w:hAnsi="方正仿宋_GBK" w:eastAsia="方正仿宋_GBK" w:cs="方正仿宋_GBK"/>
          <w:b w:val="0"/>
          <w:bCs w:val="0"/>
          <w:snapToGrid/>
          <w:kern w:val="2"/>
          <w:sz w:val="32"/>
          <w:szCs w:val="32"/>
          <w:lang w:val="en-US" w:eastAsia="zh-CN"/>
        </w:rPr>
        <w:t>（七）是否与企业财务承受能力相适应；</w:t>
      </w:r>
    </w:p>
    <w:p w14:paraId="14DF6D43">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576" w:lineRule="exact"/>
        <w:ind w:firstLine="640"/>
        <w:jc w:val="left"/>
        <w:textAlignment w:val="auto"/>
        <w:rPr>
          <w:rFonts w:hint="eastAsia" w:ascii="方正仿宋_GBK" w:hAnsi="方正仿宋_GBK" w:eastAsia="方正仿宋_GBK" w:cs="方正仿宋_GBK"/>
          <w:b w:val="0"/>
          <w:bCs w:val="0"/>
          <w:snapToGrid/>
          <w:kern w:val="2"/>
          <w:sz w:val="32"/>
          <w:szCs w:val="32"/>
          <w:lang w:val="en-US" w:eastAsia="zh-CN"/>
        </w:rPr>
      </w:pPr>
      <w:r>
        <w:rPr>
          <w:rFonts w:hint="eastAsia" w:ascii="方正仿宋_GBK" w:hAnsi="方正仿宋_GBK" w:eastAsia="方正仿宋_GBK" w:cs="方正仿宋_GBK"/>
          <w:b w:val="0"/>
          <w:bCs w:val="0"/>
          <w:snapToGrid/>
          <w:kern w:val="2"/>
          <w:sz w:val="32"/>
          <w:szCs w:val="32"/>
          <w:lang w:val="en-US" w:eastAsia="zh-CN"/>
        </w:rPr>
        <w:t>（八）其他涉及国有资产保值增值的重要内容。</w:t>
      </w:r>
    </w:p>
    <w:p w14:paraId="2D1226A7">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576" w:lineRule="exact"/>
        <w:ind w:firstLine="640"/>
        <w:jc w:val="left"/>
        <w:textAlignment w:val="auto"/>
        <w:rPr>
          <w:rFonts w:hint="eastAsia" w:ascii="方正仿宋_GBK" w:hAnsi="方正仿宋_GBK" w:eastAsia="方正仿宋_GBK" w:cs="方正仿宋_GBK"/>
          <w:b w:val="0"/>
          <w:bCs w:val="0"/>
          <w:snapToGrid/>
          <w:kern w:val="2"/>
          <w:sz w:val="32"/>
          <w:szCs w:val="32"/>
          <w:lang w:val="en-US" w:eastAsia="zh-CN"/>
        </w:rPr>
      </w:pPr>
      <w:r>
        <w:rPr>
          <w:rFonts w:hint="eastAsia" w:ascii="方正仿宋_GBK" w:hAnsi="方正仿宋_GBK" w:eastAsia="方正仿宋_GBK" w:cs="方正仿宋_GBK"/>
          <w:b w:val="0"/>
          <w:bCs w:val="0"/>
          <w:snapToGrid/>
          <w:kern w:val="2"/>
          <w:sz w:val="32"/>
          <w:szCs w:val="32"/>
          <w:lang w:val="en-US" w:eastAsia="zh-CN"/>
        </w:rPr>
        <w:t>第十条 对需要审批的投资项目材料，按程序进行审核，对需进一步论证的项目，以及需作出调整、补充、完善的项目，县政府国资委将告知县属国有企业需要增补的内容，待相关内容完善后再予受理。</w:t>
      </w:r>
    </w:p>
    <w:p w14:paraId="6BE8E240">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576" w:lineRule="exact"/>
        <w:ind w:firstLine="640"/>
        <w:jc w:val="left"/>
        <w:textAlignment w:val="auto"/>
        <w:rPr>
          <w:rFonts w:hint="eastAsia" w:ascii="方正仿宋_GBK" w:hAnsi="方正仿宋_GBK" w:eastAsia="方正仿宋_GBK" w:cs="方正仿宋_GBK"/>
          <w:b w:val="0"/>
          <w:bCs w:val="0"/>
          <w:snapToGrid/>
          <w:kern w:val="2"/>
          <w:sz w:val="32"/>
          <w:szCs w:val="32"/>
          <w:lang w:val="en-US" w:eastAsia="zh-CN"/>
        </w:rPr>
      </w:pPr>
      <w:r>
        <w:rPr>
          <w:rFonts w:hint="eastAsia" w:ascii="方正仿宋_GBK" w:hAnsi="方正仿宋_GBK" w:eastAsia="方正仿宋_GBK" w:cs="方正仿宋_GBK"/>
          <w:b w:val="0"/>
          <w:bCs w:val="0"/>
          <w:snapToGrid/>
          <w:kern w:val="2"/>
          <w:sz w:val="32"/>
          <w:szCs w:val="32"/>
          <w:lang w:val="en-US" w:eastAsia="zh-CN"/>
        </w:rPr>
        <w:t>县政府国资委依据相关法律、法规和国有资产监管规定，委托第三方咨询机构或者组织专家对投资项目进行论证，从国有资本布局结构调整方向、企业项目投向、投资收益能力、风险防控、决策程序等方面，对企业投资项目进行审核把关，所需资金由项目申报企业承担。县政府国资委一般自受理日起20个工作日内向县属国有企业书面反馈审核意见。</w:t>
      </w:r>
    </w:p>
    <w:p w14:paraId="5DD4FBA1">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576" w:lineRule="exact"/>
        <w:ind w:firstLine="640"/>
        <w:jc w:val="left"/>
        <w:textAlignment w:val="auto"/>
        <w:rPr>
          <w:rFonts w:hint="eastAsia" w:ascii="方正仿宋_GBK" w:hAnsi="方正仿宋_GBK" w:eastAsia="方正仿宋_GBK" w:cs="方正仿宋_GBK"/>
          <w:b w:val="0"/>
          <w:bCs w:val="0"/>
          <w:snapToGrid/>
          <w:kern w:val="2"/>
          <w:sz w:val="32"/>
          <w:szCs w:val="32"/>
          <w:lang w:val="en-US" w:eastAsia="zh-CN"/>
        </w:rPr>
      </w:pPr>
      <w:r>
        <w:rPr>
          <w:rFonts w:hint="eastAsia" w:ascii="方正仿宋_GBK" w:hAnsi="方正仿宋_GBK" w:eastAsia="方正仿宋_GBK" w:cs="方正仿宋_GBK"/>
          <w:b w:val="0"/>
          <w:bCs w:val="0"/>
          <w:snapToGrid/>
          <w:kern w:val="2"/>
          <w:sz w:val="32"/>
          <w:szCs w:val="32"/>
          <w:lang w:val="en-US" w:eastAsia="zh-CN"/>
        </w:rPr>
        <w:t>县属国有企业应执行县政府国资委（国企党工委）审核意见；需再决策的项目，县属国有企业应重新召开总经理会、董事会、党支部会议进行再决策，并重新报县政府国资委（国企党工委）履行审核程序。</w:t>
      </w:r>
    </w:p>
    <w:p w14:paraId="4D84449B">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576" w:lineRule="exact"/>
        <w:ind w:firstLine="640"/>
        <w:jc w:val="left"/>
        <w:textAlignment w:val="auto"/>
        <w:rPr>
          <w:rFonts w:hint="eastAsia" w:ascii="方正仿宋_GBK" w:hAnsi="方正仿宋_GBK" w:eastAsia="方正仿宋_GBK" w:cs="方正仿宋_GBK"/>
          <w:b w:val="0"/>
          <w:bCs w:val="0"/>
          <w:snapToGrid/>
          <w:kern w:val="2"/>
          <w:sz w:val="32"/>
          <w:szCs w:val="32"/>
          <w:lang w:val="en-US" w:eastAsia="zh-CN"/>
        </w:rPr>
      </w:pPr>
      <w:r>
        <w:rPr>
          <w:rFonts w:hint="eastAsia" w:ascii="方正仿宋_GBK" w:hAnsi="方正仿宋_GBK" w:eastAsia="方正仿宋_GBK" w:cs="方正仿宋_GBK"/>
          <w:b w:val="0"/>
          <w:bCs w:val="0"/>
          <w:snapToGrid/>
          <w:kern w:val="2"/>
          <w:sz w:val="32"/>
          <w:szCs w:val="32"/>
          <w:lang w:val="en-US" w:eastAsia="zh-CN"/>
        </w:rPr>
        <w:t>第十一条 需报县政府有关部门核准或备案的项目，县属国有企业应先报县政府国资委（国企党工委）履行审批程序。已经报批的投资项目，投资方式、投资规模、合作方或股权比例发生变化的，应重新报批。</w:t>
      </w:r>
    </w:p>
    <w:p w14:paraId="4EDC7A36">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576" w:lineRule="exact"/>
        <w:ind w:firstLine="640"/>
        <w:jc w:val="left"/>
        <w:textAlignment w:val="auto"/>
        <w:rPr>
          <w:rFonts w:hint="eastAsia" w:ascii="方正仿宋_GBK" w:hAnsi="方正仿宋_GBK" w:eastAsia="方正仿宋_GBK" w:cs="方正仿宋_GBK"/>
          <w:b w:val="0"/>
          <w:bCs w:val="0"/>
          <w:snapToGrid/>
          <w:kern w:val="2"/>
          <w:sz w:val="32"/>
          <w:szCs w:val="32"/>
          <w:lang w:val="en-US" w:eastAsia="zh-CN"/>
        </w:rPr>
      </w:pPr>
      <w:r>
        <w:rPr>
          <w:rFonts w:hint="eastAsia" w:ascii="方正仿宋_GBK" w:hAnsi="方正仿宋_GBK" w:eastAsia="方正仿宋_GBK" w:cs="方正仿宋_GBK"/>
          <w:b w:val="0"/>
          <w:bCs w:val="0"/>
          <w:snapToGrid/>
          <w:kern w:val="2"/>
          <w:sz w:val="32"/>
          <w:szCs w:val="32"/>
          <w:lang w:val="en-US" w:eastAsia="zh-CN"/>
        </w:rPr>
        <w:t>第十二条 县委、县政府、县政府国资委（国企党工委）对县属国有企业的投资监督管理不代替企业的投资决策，不替代企业党支部、董事会、经理层的责任。</w:t>
      </w:r>
    </w:p>
    <w:p w14:paraId="13FA51A0">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576" w:lineRule="exact"/>
        <w:ind w:firstLine="640"/>
        <w:jc w:val="left"/>
        <w:textAlignment w:val="auto"/>
        <w:rPr>
          <w:rFonts w:hint="eastAsia" w:ascii="方正仿宋_GBK" w:hAnsi="方正仿宋_GBK" w:eastAsia="方正仿宋_GBK" w:cs="方正仿宋_GBK"/>
          <w:b w:val="0"/>
          <w:bCs w:val="0"/>
          <w:snapToGrid/>
          <w:kern w:val="2"/>
          <w:sz w:val="32"/>
          <w:szCs w:val="32"/>
          <w:lang w:val="en-US" w:eastAsia="zh-CN"/>
        </w:rPr>
      </w:pPr>
      <w:r>
        <w:rPr>
          <w:rFonts w:hint="eastAsia" w:ascii="方正仿宋_GBK" w:hAnsi="方正仿宋_GBK" w:eastAsia="方正仿宋_GBK" w:cs="方正仿宋_GBK"/>
          <w:b w:val="0"/>
          <w:bCs w:val="0"/>
          <w:snapToGrid/>
          <w:kern w:val="2"/>
          <w:sz w:val="32"/>
          <w:szCs w:val="32"/>
          <w:lang w:val="en-US" w:eastAsia="zh-CN"/>
        </w:rPr>
        <w:t>第十三条 企业必须增强风险意识，严控负面清单禁止类投资项目，切实防范投资风险。</w:t>
      </w:r>
    </w:p>
    <w:p w14:paraId="76F8340C">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576" w:lineRule="exact"/>
        <w:jc w:val="center"/>
        <w:textAlignment w:val="auto"/>
        <w:rPr>
          <w:rFonts w:hint="eastAsia" w:ascii="方正黑体_GBK" w:hAnsi="方正黑体_GBK" w:eastAsia="方正黑体_GBK" w:cs="方正黑体_GBK"/>
          <w:b w:val="0"/>
          <w:bCs w:val="0"/>
          <w:snapToGrid/>
          <w:kern w:val="2"/>
          <w:sz w:val="32"/>
          <w:szCs w:val="32"/>
          <w:lang w:val="en-US" w:eastAsia="zh-CN"/>
        </w:rPr>
      </w:pPr>
      <w:r>
        <w:rPr>
          <w:rFonts w:hint="eastAsia" w:ascii="方正黑体_GBK" w:hAnsi="方正黑体_GBK" w:eastAsia="方正黑体_GBK" w:cs="方正黑体_GBK"/>
          <w:b w:val="0"/>
          <w:bCs w:val="0"/>
          <w:snapToGrid/>
          <w:kern w:val="2"/>
          <w:sz w:val="32"/>
          <w:szCs w:val="32"/>
          <w:lang w:val="en-US" w:eastAsia="zh-CN"/>
        </w:rPr>
        <w:t>第三章 投资事中管理</w:t>
      </w:r>
    </w:p>
    <w:p w14:paraId="66F74C6F">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576" w:lineRule="exact"/>
        <w:ind w:firstLine="640"/>
        <w:jc w:val="left"/>
        <w:textAlignment w:val="auto"/>
        <w:rPr>
          <w:rFonts w:hint="eastAsia" w:ascii="方正仿宋_GBK" w:hAnsi="方正仿宋_GBK" w:eastAsia="方正仿宋_GBK" w:cs="方正仿宋_GBK"/>
          <w:b w:val="0"/>
          <w:bCs w:val="0"/>
          <w:snapToGrid/>
          <w:kern w:val="2"/>
          <w:sz w:val="32"/>
          <w:szCs w:val="32"/>
          <w:lang w:val="en-US" w:eastAsia="zh-CN"/>
        </w:rPr>
      </w:pPr>
      <w:r>
        <w:rPr>
          <w:rFonts w:hint="eastAsia" w:ascii="方正仿宋_GBK" w:hAnsi="方正仿宋_GBK" w:eastAsia="方正仿宋_GBK" w:cs="方正仿宋_GBK"/>
          <w:b w:val="0"/>
          <w:bCs w:val="0"/>
          <w:snapToGrid/>
          <w:kern w:val="2"/>
          <w:sz w:val="32"/>
          <w:szCs w:val="32"/>
          <w:lang w:val="en-US" w:eastAsia="zh-CN"/>
        </w:rPr>
        <w:t>第十四条 县政府国资委对县属国有企业实施中的重大投资项目进行随机监督检查，重点检查企业重大投资项目决策、执行、投资回报和效果等情况，特别是计划外追加、非主业重大投资项目实施的必要性和投资风险等内容，对发现的问题向企业进行提示并可要求其限期整改。</w:t>
      </w:r>
    </w:p>
    <w:p w14:paraId="224EDEBF">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576" w:lineRule="exact"/>
        <w:ind w:firstLine="640"/>
        <w:jc w:val="left"/>
        <w:textAlignment w:val="auto"/>
        <w:rPr>
          <w:rFonts w:hint="eastAsia" w:ascii="方正仿宋_GBK" w:hAnsi="方正仿宋_GBK" w:eastAsia="方正仿宋_GBK" w:cs="方正仿宋_GBK"/>
          <w:b w:val="0"/>
          <w:bCs w:val="0"/>
          <w:snapToGrid/>
          <w:kern w:val="2"/>
          <w:sz w:val="32"/>
          <w:szCs w:val="32"/>
          <w:lang w:val="en-US" w:eastAsia="zh-CN"/>
        </w:rPr>
      </w:pPr>
      <w:r>
        <w:rPr>
          <w:rFonts w:hint="eastAsia" w:ascii="方正仿宋_GBK" w:hAnsi="方正仿宋_GBK" w:eastAsia="方正仿宋_GBK" w:cs="方正仿宋_GBK"/>
          <w:b w:val="0"/>
          <w:bCs w:val="0"/>
          <w:snapToGrid/>
          <w:kern w:val="2"/>
          <w:sz w:val="32"/>
          <w:szCs w:val="32"/>
          <w:lang w:val="en-US" w:eastAsia="zh-CN"/>
        </w:rPr>
        <w:t>第十五条 县属国有企业自身应加强对投资事项的日常监督检查，对实施、运营中的投资项目进行跟踪分析，针对外部环境和项目本身情况变化，及时进行再决策。如出现影响投资目的实现的重大不利变化时，应当及时启动中止、终止或退出机制。</w:t>
      </w:r>
    </w:p>
    <w:p w14:paraId="3BBFCECB">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576" w:lineRule="exact"/>
        <w:ind w:firstLine="640"/>
        <w:jc w:val="left"/>
        <w:textAlignment w:val="auto"/>
        <w:rPr>
          <w:rFonts w:hint="eastAsia" w:ascii="方正仿宋_GBK" w:hAnsi="方正仿宋_GBK" w:eastAsia="方正仿宋_GBK" w:cs="方正仿宋_GBK"/>
          <w:b w:val="0"/>
          <w:bCs w:val="0"/>
          <w:snapToGrid/>
          <w:kern w:val="2"/>
          <w:sz w:val="32"/>
          <w:szCs w:val="32"/>
          <w:lang w:val="en-US" w:eastAsia="zh-CN"/>
        </w:rPr>
      </w:pPr>
      <w:r>
        <w:rPr>
          <w:rFonts w:hint="eastAsia" w:ascii="方正仿宋_GBK" w:hAnsi="方正仿宋_GBK" w:eastAsia="方正仿宋_GBK" w:cs="方正仿宋_GBK"/>
          <w:b w:val="0"/>
          <w:bCs w:val="0"/>
          <w:snapToGrid/>
          <w:kern w:val="2"/>
          <w:sz w:val="32"/>
          <w:szCs w:val="32"/>
          <w:lang w:val="en-US" w:eastAsia="zh-CN"/>
        </w:rPr>
        <w:t>第十六条 县属国有企业应当建立健全投资基础信息台账，全面掌握各级子企业投资情况，并按时向县政府国资委报送基础信息台账，同时做好投资统计工作，分别于每年每季度首月10日前将季度投资完成情况及季度投资分析情况报送县政府国资委。季度投资完成情况主要包括固定资产投资、股权投资、重大投资项目完成情况，以及需要报告的其他事项等内容。县属国有企业年报审计应把投资情况作为重点内容进行披露。</w:t>
      </w:r>
    </w:p>
    <w:p w14:paraId="1BDE4D04">
      <w:pPr>
        <w:keepNext w:val="0"/>
        <w:keepLines w:val="0"/>
        <w:pageBreakBefore w:val="0"/>
        <w:widowControl w:val="0"/>
        <w:suppressLineNumbers w:val="0"/>
        <w:kinsoku/>
        <w:wordWrap/>
        <w:overflowPunct/>
        <w:topLinePunct w:val="0"/>
        <w:autoSpaceDE/>
        <w:autoSpaceDN/>
        <w:bidi w:val="0"/>
        <w:adjustRightInd/>
        <w:snapToGrid/>
        <w:spacing w:line="576" w:lineRule="exact"/>
        <w:jc w:val="center"/>
        <w:textAlignment w:val="auto"/>
        <w:rPr>
          <w:rFonts w:hint="eastAsia" w:ascii="方正黑体_GBK" w:hAnsi="方正黑体_GBK" w:eastAsia="方正黑体_GBK" w:cs="方正黑体_GBK"/>
          <w:b w:val="0"/>
          <w:i w:val="0"/>
          <w:snapToGrid/>
          <w:spacing w:val="7"/>
          <w:kern w:val="0"/>
          <w:sz w:val="32"/>
          <w:szCs w:val="32"/>
          <w:u w:val="none"/>
          <w:lang w:val="en-US" w:eastAsia="zh-CN" w:bidi="ar"/>
        </w:rPr>
      </w:pPr>
      <w:r>
        <w:rPr>
          <w:rFonts w:hint="eastAsia" w:ascii="方正黑体_GBK" w:hAnsi="方正黑体_GBK" w:eastAsia="方正黑体_GBK" w:cs="方正黑体_GBK"/>
          <w:b w:val="0"/>
          <w:i w:val="0"/>
          <w:snapToGrid/>
          <w:spacing w:val="7"/>
          <w:kern w:val="0"/>
          <w:sz w:val="32"/>
          <w:szCs w:val="32"/>
          <w:u w:val="none"/>
          <w:lang w:val="en-US" w:eastAsia="zh-CN" w:bidi="ar"/>
        </w:rPr>
        <w:t>第四章 投资事后管理</w:t>
      </w:r>
    </w:p>
    <w:p w14:paraId="027010B0">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576" w:lineRule="exact"/>
        <w:ind w:firstLine="640"/>
        <w:jc w:val="left"/>
        <w:textAlignment w:val="auto"/>
        <w:rPr>
          <w:rFonts w:hint="eastAsia" w:ascii="方正仿宋_GBK" w:hAnsi="方正仿宋_GBK" w:eastAsia="方正仿宋_GBK" w:cs="方正仿宋_GBK"/>
          <w:b w:val="0"/>
          <w:bCs w:val="0"/>
          <w:snapToGrid/>
          <w:kern w:val="2"/>
          <w:sz w:val="32"/>
          <w:szCs w:val="32"/>
          <w:lang w:val="en-US" w:eastAsia="zh-CN"/>
        </w:rPr>
      </w:pPr>
      <w:r>
        <w:rPr>
          <w:rFonts w:hint="eastAsia" w:ascii="方正仿宋_GBK" w:hAnsi="方正仿宋_GBK" w:eastAsia="方正仿宋_GBK" w:cs="方正仿宋_GBK"/>
          <w:b w:val="0"/>
          <w:bCs w:val="0"/>
          <w:snapToGrid/>
          <w:kern w:val="2"/>
          <w:sz w:val="32"/>
          <w:szCs w:val="32"/>
          <w:lang w:val="en-US" w:eastAsia="zh-CN"/>
        </w:rPr>
        <w:t>第十七条 县属国有企业应当在年末编制年度投资完成情况报告，并于次年3月1日前报送县政府国资委。年度投资完成情况报告包括但不限于以下内容：</w:t>
      </w:r>
    </w:p>
    <w:p w14:paraId="6C0BF0E1">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576" w:lineRule="exact"/>
        <w:ind w:firstLine="640"/>
        <w:jc w:val="left"/>
        <w:textAlignment w:val="auto"/>
        <w:rPr>
          <w:rFonts w:hint="eastAsia" w:ascii="方正仿宋_GBK" w:hAnsi="方正仿宋_GBK" w:eastAsia="方正仿宋_GBK" w:cs="方正仿宋_GBK"/>
          <w:b w:val="0"/>
          <w:bCs w:val="0"/>
          <w:snapToGrid/>
          <w:kern w:val="2"/>
          <w:sz w:val="32"/>
          <w:szCs w:val="32"/>
          <w:lang w:val="en-US" w:eastAsia="zh-CN"/>
        </w:rPr>
      </w:pPr>
      <w:r>
        <w:rPr>
          <w:rFonts w:hint="eastAsia" w:ascii="方正仿宋_GBK" w:hAnsi="方正仿宋_GBK" w:eastAsia="方正仿宋_GBK" w:cs="方正仿宋_GBK"/>
          <w:b w:val="0"/>
          <w:bCs w:val="0"/>
          <w:snapToGrid/>
          <w:kern w:val="2"/>
          <w:sz w:val="32"/>
          <w:szCs w:val="32"/>
          <w:lang w:val="en-US" w:eastAsia="zh-CN"/>
        </w:rPr>
        <w:t>（一）年度投资完成总体情况；</w:t>
      </w:r>
    </w:p>
    <w:p w14:paraId="42090C90">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576" w:lineRule="exact"/>
        <w:ind w:firstLine="640"/>
        <w:jc w:val="left"/>
        <w:textAlignment w:val="auto"/>
        <w:rPr>
          <w:rFonts w:hint="eastAsia" w:ascii="方正仿宋_GBK" w:hAnsi="方正仿宋_GBK" w:eastAsia="方正仿宋_GBK" w:cs="方正仿宋_GBK"/>
          <w:b w:val="0"/>
          <w:bCs w:val="0"/>
          <w:snapToGrid/>
          <w:kern w:val="2"/>
          <w:sz w:val="32"/>
          <w:szCs w:val="32"/>
          <w:lang w:val="en-US" w:eastAsia="zh-CN"/>
        </w:rPr>
      </w:pPr>
      <w:r>
        <w:rPr>
          <w:rFonts w:hint="eastAsia" w:ascii="方正仿宋_GBK" w:hAnsi="方正仿宋_GBK" w:eastAsia="方正仿宋_GBK" w:cs="方正仿宋_GBK"/>
          <w:b w:val="0"/>
          <w:bCs w:val="0"/>
          <w:snapToGrid/>
          <w:kern w:val="2"/>
          <w:sz w:val="32"/>
          <w:szCs w:val="32"/>
          <w:lang w:val="en-US" w:eastAsia="zh-CN"/>
        </w:rPr>
        <w:t>（二）投资效果分析；</w:t>
      </w:r>
    </w:p>
    <w:p w14:paraId="24C2BB6F">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576" w:lineRule="exact"/>
        <w:ind w:firstLine="640"/>
        <w:jc w:val="left"/>
        <w:textAlignment w:val="auto"/>
        <w:rPr>
          <w:rFonts w:hint="eastAsia" w:ascii="方正仿宋_GBK" w:hAnsi="方正仿宋_GBK" w:eastAsia="方正仿宋_GBK" w:cs="方正仿宋_GBK"/>
          <w:b w:val="0"/>
          <w:bCs w:val="0"/>
          <w:snapToGrid/>
          <w:kern w:val="2"/>
          <w:sz w:val="32"/>
          <w:szCs w:val="32"/>
          <w:lang w:val="en-US" w:eastAsia="zh-CN"/>
        </w:rPr>
      </w:pPr>
      <w:r>
        <w:rPr>
          <w:rFonts w:hint="eastAsia" w:ascii="方正仿宋_GBK" w:hAnsi="方正仿宋_GBK" w:eastAsia="方正仿宋_GBK" w:cs="方正仿宋_GBK"/>
          <w:b w:val="0"/>
          <w:bCs w:val="0"/>
          <w:snapToGrid/>
          <w:kern w:val="2"/>
          <w:sz w:val="32"/>
          <w:szCs w:val="32"/>
          <w:lang w:val="en-US" w:eastAsia="zh-CN"/>
        </w:rPr>
        <w:t>（三）投资回报；</w:t>
      </w:r>
    </w:p>
    <w:p w14:paraId="4D0A5B39">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576" w:lineRule="exact"/>
        <w:ind w:firstLine="640"/>
        <w:jc w:val="left"/>
        <w:textAlignment w:val="auto"/>
        <w:rPr>
          <w:rFonts w:hint="eastAsia" w:ascii="方正仿宋_GBK" w:hAnsi="方正仿宋_GBK" w:eastAsia="方正仿宋_GBK" w:cs="方正仿宋_GBK"/>
          <w:b w:val="0"/>
          <w:bCs w:val="0"/>
          <w:snapToGrid/>
          <w:kern w:val="2"/>
          <w:sz w:val="32"/>
          <w:szCs w:val="32"/>
          <w:lang w:val="en-US" w:eastAsia="zh-CN"/>
        </w:rPr>
      </w:pPr>
      <w:r>
        <w:rPr>
          <w:rFonts w:hint="eastAsia" w:ascii="方正仿宋_GBK" w:hAnsi="方正仿宋_GBK" w:eastAsia="方正仿宋_GBK" w:cs="方正仿宋_GBK"/>
          <w:b w:val="0"/>
          <w:bCs w:val="0"/>
          <w:snapToGrid/>
          <w:kern w:val="2"/>
          <w:sz w:val="32"/>
          <w:szCs w:val="32"/>
          <w:lang w:val="en-US" w:eastAsia="zh-CN"/>
        </w:rPr>
        <w:t>（四）重大投资项目进展情况；</w:t>
      </w:r>
    </w:p>
    <w:p w14:paraId="478BC67A">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576" w:lineRule="exact"/>
        <w:ind w:firstLine="640"/>
        <w:jc w:val="left"/>
        <w:textAlignment w:val="auto"/>
        <w:rPr>
          <w:rFonts w:hint="eastAsia" w:ascii="方正仿宋_GBK" w:hAnsi="方正仿宋_GBK" w:eastAsia="方正仿宋_GBK" w:cs="方正仿宋_GBK"/>
          <w:b w:val="0"/>
          <w:bCs w:val="0"/>
          <w:snapToGrid/>
          <w:kern w:val="2"/>
          <w:sz w:val="32"/>
          <w:szCs w:val="32"/>
          <w:lang w:val="en-US" w:eastAsia="zh-CN"/>
        </w:rPr>
      </w:pPr>
      <w:r>
        <w:rPr>
          <w:rFonts w:hint="eastAsia" w:ascii="方正仿宋_GBK" w:hAnsi="方正仿宋_GBK" w:eastAsia="方正仿宋_GBK" w:cs="方正仿宋_GBK"/>
          <w:b w:val="0"/>
          <w:bCs w:val="0"/>
          <w:snapToGrid/>
          <w:kern w:val="2"/>
          <w:sz w:val="32"/>
          <w:szCs w:val="32"/>
          <w:lang w:val="en-US" w:eastAsia="zh-CN"/>
        </w:rPr>
        <w:t>（五）投资后评价工作开展情况；</w:t>
      </w:r>
    </w:p>
    <w:p w14:paraId="5306E816">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576" w:lineRule="exact"/>
        <w:ind w:firstLine="640"/>
        <w:jc w:val="left"/>
        <w:textAlignment w:val="auto"/>
        <w:rPr>
          <w:rFonts w:hint="eastAsia" w:ascii="方正仿宋_GBK" w:hAnsi="方正仿宋_GBK" w:eastAsia="方正仿宋_GBK" w:cs="方正仿宋_GBK"/>
          <w:b w:val="0"/>
          <w:bCs w:val="0"/>
          <w:snapToGrid/>
          <w:kern w:val="2"/>
          <w:sz w:val="32"/>
          <w:szCs w:val="32"/>
          <w:lang w:val="en-US" w:eastAsia="zh-CN"/>
        </w:rPr>
      </w:pPr>
      <w:r>
        <w:rPr>
          <w:rFonts w:hint="eastAsia" w:ascii="方正仿宋_GBK" w:hAnsi="方正仿宋_GBK" w:eastAsia="方正仿宋_GBK" w:cs="方正仿宋_GBK"/>
          <w:b w:val="0"/>
          <w:bCs w:val="0"/>
          <w:snapToGrid/>
          <w:kern w:val="2"/>
          <w:sz w:val="32"/>
          <w:szCs w:val="32"/>
          <w:lang w:val="en-US" w:eastAsia="zh-CN"/>
        </w:rPr>
        <w:t>（六）年度投资存在的主要问题及建议。</w:t>
      </w:r>
    </w:p>
    <w:p w14:paraId="19DB5026">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576" w:lineRule="exact"/>
        <w:ind w:firstLine="640"/>
        <w:jc w:val="left"/>
        <w:textAlignment w:val="auto"/>
        <w:rPr>
          <w:rFonts w:hint="eastAsia" w:ascii="方正仿宋_GBK" w:hAnsi="方正仿宋_GBK" w:eastAsia="方正仿宋_GBK" w:cs="方正仿宋_GBK"/>
          <w:b w:val="0"/>
          <w:bCs w:val="0"/>
          <w:snapToGrid/>
          <w:kern w:val="2"/>
          <w:sz w:val="32"/>
          <w:szCs w:val="32"/>
          <w:lang w:val="en-US" w:eastAsia="zh-CN"/>
        </w:rPr>
      </w:pPr>
      <w:r>
        <w:rPr>
          <w:rFonts w:hint="eastAsia" w:ascii="方正仿宋_GBK" w:hAnsi="方正仿宋_GBK" w:eastAsia="方正仿宋_GBK" w:cs="方正仿宋_GBK"/>
          <w:b w:val="0"/>
          <w:bCs w:val="0"/>
          <w:snapToGrid/>
          <w:kern w:val="2"/>
          <w:sz w:val="32"/>
          <w:szCs w:val="32"/>
          <w:lang w:val="en-US" w:eastAsia="zh-CN"/>
        </w:rPr>
        <w:t>第十八条 县属国有企业应建立投资项目后评价工作制度，对投资项目后评价的目的、范围、内容、方法和流程以及后评价人员组成、后评价结果的运用等作出规定。县属国有企业是投资项目后评价工作的责任主体，应通过项目后评价，完善企业投资决策机制，提高项目成功率和投资收益，总结投资经验和教训，为后续投资活动提供参考，提高投资管理水平。县属国有企业每年对已完成的重大项目开展后评价，形成后评价专项报告，投资项目后评价专项报告以正式文件报县政府国资委。</w:t>
      </w:r>
    </w:p>
    <w:p w14:paraId="1B9886C9">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576" w:lineRule="exact"/>
        <w:ind w:firstLine="640"/>
        <w:jc w:val="left"/>
        <w:textAlignment w:val="auto"/>
        <w:rPr>
          <w:rFonts w:hint="eastAsia" w:ascii="方正仿宋_GBK" w:hAnsi="方正仿宋_GBK" w:eastAsia="方正仿宋_GBK" w:cs="方正仿宋_GBK"/>
          <w:b w:val="0"/>
          <w:bCs w:val="0"/>
          <w:snapToGrid/>
          <w:kern w:val="2"/>
          <w:sz w:val="32"/>
          <w:szCs w:val="32"/>
          <w:lang w:val="en-US" w:eastAsia="zh-CN"/>
        </w:rPr>
      </w:pPr>
      <w:r>
        <w:rPr>
          <w:rFonts w:hint="eastAsia" w:ascii="方正仿宋_GBK" w:hAnsi="方正仿宋_GBK" w:eastAsia="方正仿宋_GBK" w:cs="方正仿宋_GBK"/>
          <w:b w:val="0"/>
          <w:bCs w:val="0"/>
          <w:snapToGrid/>
          <w:kern w:val="2"/>
          <w:sz w:val="32"/>
          <w:szCs w:val="32"/>
          <w:lang w:val="en-US" w:eastAsia="zh-CN"/>
        </w:rPr>
        <w:t>第十九条 县政府国资委负责指导监督企业投资项目后评价工作，根据监管需要组织专家或委托第三方机构开展投资项目绩效复审工作，对评价结果优秀的组织典型经验交流，对评价结果存在严重问题的启动追究程序。</w:t>
      </w:r>
    </w:p>
    <w:p w14:paraId="2EF147DE">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576" w:lineRule="exact"/>
        <w:ind w:firstLine="640"/>
        <w:jc w:val="left"/>
        <w:textAlignment w:val="auto"/>
        <w:rPr>
          <w:rFonts w:hint="eastAsia" w:ascii="方正仿宋_GBK" w:hAnsi="方正仿宋_GBK" w:eastAsia="方正仿宋_GBK" w:cs="方正仿宋_GBK"/>
          <w:b w:val="0"/>
          <w:bCs w:val="0"/>
          <w:snapToGrid/>
          <w:kern w:val="2"/>
          <w:sz w:val="32"/>
          <w:szCs w:val="32"/>
          <w:lang w:val="en-US" w:eastAsia="zh-CN"/>
        </w:rPr>
      </w:pPr>
      <w:r>
        <w:rPr>
          <w:rFonts w:hint="eastAsia" w:ascii="方正仿宋_GBK" w:hAnsi="方正仿宋_GBK" w:eastAsia="方正仿宋_GBK" w:cs="方正仿宋_GBK"/>
          <w:b w:val="0"/>
          <w:bCs w:val="0"/>
          <w:snapToGrid/>
          <w:kern w:val="2"/>
          <w:sz w:val="32"/>
          <w:szCs w:val="32"/>
          <w:lang w:val="en-US" w:eastAsia="zh-CN"/>
        </w:rPr>
        <w:t>第二十条 县属国有企业应当对所需要审批的投资项目进行专项审计，审计的重点包括重大投资项目决策、投资方向、资金使用、投资收益、投资风险管理等方面内容。专项审计结果及其应用应当列为董事会研究议题并报县政府国资委备案。</w:t>
      </w:r>
    </w:p>
    <w:p w14:paraId="2BDD08EF">
      <w:pPr>
        <w:keepNext w:val="0"/>
        <w:keepLines w:val="0"/>
        <w:pageBreakBefore w:val="0"/>
        <w:widowControl w:val="0"/>
        <w:suppressLineNumbers w:val="0"/>
        <w:kinsoku/>
        <w:wordWrap/>
        <w:overflowPunct/>
        <w:topLinePunct w:val="0"/>
        <w:autoSpaceDE/>
        <w:autoSpaceDN/>
        <w:bidi w:val="0"/>
        <w:adjustRightInd/>
        <w:snapToGrid/>
        <w:spacing w:line="576" w:lineRule="exact"/>
        <w:jc w:val="center"/>
        <w:textAlignment w:val="auto"/>
        <w:rPr>
          <w:rFonts w:hint="eastAsia" w:ascii="方正黑体_GBK" w:hAnsi="方正黑体_GBK" w:eastAsia="方正黑体_GBK" w:cs="方正黑体_GBK"/>
          <w:b w:val="0"/>
          <w:i w:val="0"/>
          <w:snapToGrid/>
          <w:spacing w:val="7"/>
          <w:kern w:val="0"/>
          <w:sz w:val="32"/>
          <w:szCs w:val="32"/>
          <w:u w:val="none"/>
          <w:lang w:val="en-US" w:eastAsia="zh-CN" w:bidi="ar"/>
        </w:rPr>
      </w:pPr>
      <w:r>
        <w:rPr>
          <w:rFonts w:hint="eastAsia" w:ascii="方正黑体_GBK" w:hAnsi="方正黑体_GBK" w:eastAsia="方正黑体_GBK" w:cs="方正黑体_GBK"/>
          <w:b w:val="0"/>
          <w:i w:val="0"/>
          <w:snapToGrid/>
          <w:spacing w:val="7"/>
          <w:kern w:val="0"/>
          <w:sz w:val="32"/>
          <w:szCs w:val="32"/>
          <w:u w:val="none"/>
          <w:lang w:val="en-US" w:eastAsia="zh-CN" w:bidi="ar"/>
        </w:rPr>
        <w:t>第五章 执行与责任追究</w:t>
      </w:r>
    </w:p>
    <w:p w14:paraId="16FBBEDF">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576" w:lineRule="exact"/>
        <w:ind w:firstLine="640"/>
        <w:jc w:val="left"/>
        <w:textAlignment w:val="auto"/>
        <w:rPr>
          <w:rFonts w:hint="eastAsia" w:ascii="方正仿宋_GBK" w:hAnsi="方正仿宋_GBK" w:eastAsia="方正仿宋_GBK" w:cs="方正仿宋_GBK"/>
          <w:b w:val="0"/>
          <w:bCs w:val="0"/>
          <w:snapToGrid/>
          <w:kern w:val="2"/>
          <w:sz w:val="32"/>
          <w:szCs w:val="32"/>
          <w:lang w:val="en-US" w:eastAsia="zh-CN"/>
        </w:rPr>
      </w:pPr>
      <w:r>
        <w:rPr>
          <w:rFonts w:hint="eastAsia" w:ascii="方正仿宋_GBK" w:hAnsi="方正仿宋_GBK" w:eastAsia="方正仿宋_GBK" w:cs="方正仿宋_GBK"/>
          <w:b w:val="0"/>
          <w:bCs w:val="0"/>
          <w:snapToGrid/>
          <w:kern w:val="2"/>
          <w:sz w:val="32"/>
          <w:szCs w:val="32"/>
          <w:lang w:val="en-US" w:eastAsia="zh-CN"/>
        </w:rPr>
        <w:t>第二十一条 县属国有企业是维护国有资产安全、实现国有资本保值增值、防止投资损失的责任主体，应严格执行本规定并按本规定修订投资管理办法和“三重一大”决策制度，应在本企业建立投资管理责任链，层层落实责任，严把投资项目管理关键环节，明确各环节责任主体，健全投资管理责任制。</w:t>
      </w:r>
    </w:p>
    <w:p w14:paraId="060C412A">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576" w:lineRule="exact"/>
        <w:ind w:firstLine="640"/>
        <w:jc w:val="left"/>
        <w:textAlignment w:val="auto"/>
        <w:rPr>
          <w:rFonts w:hint="eastAsia" w:ascii="方正仿宋_GBK" w:hAnsi="方正仿宋_GBK" w:eastAsia="方正仿宋_GBK" w:cs="方正仿宋_GBK"/>
          <w:b w:val="0"/>
          <w:bCs w:val="0"/>
          <w:snapToGrid/>
          <w:kern w:val="2"/>
          <w:sz w:val="32"/>
          <w:szCs w:val="32"/>
          <w:lang w:val="en-US" w:eastAsia="zh-CN"/>
        </w:rPr>
      </w:pPr>
      <w:r>
        <w:rPr>
          <w:rFonts w:hint="eastAsia" w:ascii="方正仿宋_GBK" w:hAnsi="方正仿宋_GBK" w:eastAsia="方正仿宋_GBK" w:cs="方正仿宋_GBK"/>
          <w:b w:val="0"/>
          <w:bCs w:val="0"/>
          <w:snapToGrid/>
          <w:kern w:val="2"/>
          <w:sz w:val="32"/>
          <w:szCs w:val="32"/>
          <w:lang w:val="en-US" w:eastAsia="zh-CN"/>
        </w:rPr>
        <w:t>第二十二条 县属国有企业在投资决策和投资管理过程中，有关人员违反国家、区、市、县以及企业投资管理制度的规定，未履行职责或未正确履行职责，导致投资损失或造成严重不良后果的，按照《中华人民共和国企业国有资产法》等有关规定，追究有关人员的责任。</w:t>
      </w:r>
    </w:p>
    <w:p w14:paraId="30643F73">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576" w:lineRule="exact"/>
        <w:ind w:firstLine="640"/>
        <w:jc w:val="left"/>
        <w:textAlignment w:val="auto"/>
        <w:rPr>
          <w:rFonts w:hint="eastAsia" w:ascii="方正黑体_GBK" w:hAnsi="方正黑体_GBK" w:eastAsia="方正黑体_GBK" w:cs="方正黑体_GBK"/>
          <w:b w:val="0"/>
          <w:i w:val="0"/>
          <w:snapToGrid/>
          <w:spacing w:val="7"/>
          <w:kern w:val="0"/>
          <w:sz w:val="32"/>
          <w:szCs w:val="32"/>
          <w:u w:val="none"/>
          <w:lang w:val="en-US" w:eastAsia="zh-CN" w:bidi="ar"/>
        </w:rPr>
      </w:pPr>
      <w:r>
        <w:rPr>
          <w:rFonts w:hint="eastAsia" w:ascii="方正仿宋_GBK" w:hAnsi="方正仿宋_GBK" w:eastAsia="方正仿宋_GBK" w:cs="方正仿宋_GBK"/>
          <w:b w:val="0"/>
          <w:bCs w:val="0"/>
          <w:snapToGrid/>
          <w:kern w:val="2"/>
          <w:sz w:val="32"/>
          <w:szCs w:val="32"/>
          <w:lang w:val="en-US" w:eastAsia="zh-CN"/>
        </w:rPr>
        <w:t>第二十三条 县政府国资委相关工作人员违反本办法规定造成不良影响的，由县政府国资委责令其改正；造成国有资产损失的，交由县纪委监委核实并提出处理意见。</w:t>
      </w:r>
    </w:p>
    <w:p w14:paraId="460ECE77">
      <w:pPr>
        <w:keepNext w:val="0"/>
        <w:keepLines w:val="0"/>
        <w:pageBreakBefore w:val="0"/>
        <w:widowControl w:val="0"/>
        <w:suppressLineNumbers w:val="0"/>
        <w:kinsoku/>
        <w:wordWrap/>
        <w:overflowPunct/>
        <w:topLinePunct w:val="0"/>
        <w:autoSpaceDE/>
        <w:autoSpaceDN/>
        <w:bidi w:val="0"/>
        <w:adjustRightInd/>
        <w:snapToGrid/>
        <w:spacing w:line="576" w:lineRule="exact"/>
        <w:jc w:val="center"/>
        <w:textAlignment w:val="auto"/>
        <w:rPr>
          <w:rFonts w:hint="eastAsia" w:ascii="方正黑体_GBK" w:hAnsi="方正黑体_GBK" w:eastAsia="方正黑体_GBK" w:cs="方正黑体_GBK"/>
          <w:b w:val="0"/>
          <w:i w:val="0"/>
          <w:snapToGrid/>
          <w:spacing w:val="7"/>
          <w:kern w:val="0"/>
          <w:sz w:val="32"/>
          <w:szCs w:val="32"/>
          <w:u w:val="none"/>
          <w:lang w:val="en-US" w:eastAsia="zh-CN" w:bidi="ar"/>
        </w:rPr>
      </w:pPr>
    </w:p>
    <w:p w14:paraId="5F9CDD5A">
      <w:pPr>
        <w:keepNext w:val="0"/>
        <w:keepLines w:val="0"/>
        <w:pageBreakBefore w:val="0"/>
        <w:widowControl w:val="0"/>
        <w:suppressLineNumbers w:val="0"/>
        <w:kinsoku/>
        <w:wordWrap/>
        <w:overflowPunct/>
        <w:topLinePunct w:val="0"/>
        <w:autoSpaceDE/>
        <w:autoSpaceDN/>
        <w:bidi w:val="0"/>
        <w:adjustRightInd/>
        <w:snapToGrid/>
        <w:spacing w:line="576" w:lineRule="exact"/>
        <w:jc w:val="center"/>
        <w:textAlignment w:val="auto"/>
        <w:rPr>
          <w:rFonts w:hint="eastAsia" w:ascii="方正黑体_GBK" w:hAnsi="方正黑体_GBK" w:eastAsia="方正黑体_GBK" w:cs="方正黑体_GBK"/>
          <w:b w:val="0"/>
          <w:i w:val="0"/>
          <w:snapToGrid/>
          <w:spacing w:val="7"/>
          <w:kern w:val="0"/>
          <w:sz w:val="32"/>
          <w:szCs w:val="32"/>
          <w:u w:val="none"/>
          <w:lang w:val="en-US" w:eastAsia="zh-CN" w:bidi="ar"/>
        </w:rPr>
      </w:pPr>
      <w:r>
        <w:rPr>
          <w:rFonts w:hint="eastAsia" w:ascii="方正黑体_GBK" w:hAnsi="方正黑体_GBK" w:eastAsia="方正黑体_GBK" w:cs="方正黑体_GBK"/>
          <w:b w:val="0"/>
          <w:i w:val="0"/>
          <w:snapToGrid/>
          <w:spacing w:val="7"/>
          <w:kern w:val="0"/>
          <w:sz w:val="32"/>
          <w:szCs w:val="32"/>
          <w:u w:val="none"/>
          <w:lang w:val="en-US" w:eastAsia="zh-CN" w:bidi="ar"/>
        </w:rPr>
        <w:t>第六章 附 则</w:t>
      </w:r>
    </w:p>
    <w:p w14:paraId="5B51219D">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576" w:lineRule="exact"/>
        <w:ind w:firstLine="640"/>
        <w:jc w:val="left"/>
        <w:textAlignment w:val="auto"/>
        <w:rPr>
          <w:rFonts w:hint="eastAsia" w:ascii="方正仿宋_GBK" w:hAnsi="方正仿宋_GBK" w:eastAsia="方正仿宋_GBK" w:cs="方正仿宋_GBK"/>
          <w:b w:val="0"/>
          <w:bCs w:val="0"/>
          <w:snapToGrid/>
          <w:kern w:val="2"/>
          <w:sz w:val="32"/>
          <w:szCs w:val="32"/>
          <w:lang w:val="en-US" w:eastAsia="zh-CN"/>
        </w:rPr>
      </w:pPr>
      <w:r>
        <w:rPr>
          <w:rFonts w:hint="eastAsia" w:ascii="方正仿宋_GBK" w:hAnsi="方正仿宋_GBK" w:eastAsia="方正仿宋_GBK" w:cs="方正仿宋_GBK"/>
          <w:b w:val="0"/>
          <w:bCs w:val="0"/>
          <w:snapToGrid/>
          <w:kern w:val="2"/>
          <w:sz w:val="32"/>
          <w:szCs w:val="32"/>
          <w:lang w:val="en-US" w:eastAsia="zh-CN"/>
        </w:rPr>
        <w:t>第二十四条 县属国有企业应当在县政府国资委发布的投资项目负面清单基础上，结合企业实际，制定本企业更为严格、具体的投资项目管理制度。</w:t>
      </w:r>
    </w:p>
    <w:p w14:paraId="0F8F0F07">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576" w:lineRule="exact"/>
        <w:ind w:firstLine="640"/>
        <w:jc w:val="left"/>
        <w:textAlignment w:val="auto"/>
        <w:rPr>
          <w:rFonts w:hint="eastAsia" w:ascii="方正仿宋_GBK" w:hAnsi="方正仿宋_GBK" w:eastAsia="方正仿宋_GBK" w:cs="方正仿宋_GBK"/>
          <w:b w:val="0"/>
          <w:bCs w:val="0"/>
          <w:snapToGrid/>
          <w:kern w:val="2"/>
          <w:sz w:val="32"/>
          <w:szCs w:val="32"/>
          <w:lang w:val="en-US" w:eastAsia="zh-CN"/>
        </w:rPr>
      </w:pPr>
      <w:r>
        <w:rPr>
          <w:rFonts w:hint="eastAsia" w:ascii="方正仿宋_GBK" w:hAnsi="方正仿宋_GBK" w:eastAsia="方正仿宋_GBK" w:cs="方正仿宋_GBK"/>
          <w:b w:val="0"/>
          <w:bCs w:val="0"/>
          <w:snapToGrid/>
          <w:kern w:val="2"/>
          <w:sz w:val="32"/>
          <w:szCs w:val="32"/>
          <w:lang w:val="en-US" w:eastAsia="zh-CN"/>
        </w:rPr>
        <w:t>第二十五条 本办法由县政府国资委负责解释。</w:t>
      </w:r>
    </w:p>
    <w:p w14:paraId="209F36B5">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576" w:lineRule="exact"/>
        <w:ind w:firstLine="640"/>
        <w:jc w:val="left"/>
        <w:textAlignment w:val="auto"/>
        <w:rPr>
          <w:rFonts w:hint="eastAsia" w:ascii="方正仿宋_GBK" w:hAnsi="方正仿宋_GBK" w:eastAsia="方正仿宋_GBK" w:cs="方正仿宋_GBK"/>
          <w:b w:val="0"/>
          <w:bCs w:val="0"/>
          <w:snapToGrid/>
          <w:kern w:val="2"/>
          <w:sz w:val="32"/>
          <w:szCs w:val="32"/>
          <w:lang w:val="en-US" w:eastAsia="zh-CN"/>
        </w:rPr>
      </w:pPr>
      <w:r>
        <w:rPr>
          <w:rFonts w:hint="eastAsia" w:ascii="方正仿宋_GBK" w:hAnsi="方正仿宋_GBK" w:eastAsia="方正仿宋_GBK" w:cs="方正仿宋_GBK"/>
          <w:b w:val="0"/>
          <w:bCs w:val="0"/>
          <w:snapToGrid/>
          <w:kern w:val="2"/>
          <w:sz w:val="32"/>
          <w:szCs w:val="32"/>
          <w:lang w:val="en-US" w:eastAsia="zh-CN"/>
        </w:rPr>
        <w:t>第二十六条 本办法自印发之日起施行。</w:t>
      </w:r>
    </w:p>
    <w:p w14:paraId="259F0E2F">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576" w:lineRule="exact"/>
        <w:ind w:firstLine="640"/>
        <w:jc w:val="left"/>
        <w:textAlignment w:val="auto"/>
        <w:rPr>
          <w:rFonts w:hint="eastAsia" w:ascii="方正仿宋_GBK" w:hAnsi="方正仿宋_GBK" w:eastAsia="方正仿宋_GBK" w:cs="方正仿宋_GBK"/>
          <w:b w:val="0"/>
          <w:bCs w:val="0"/>
          <w:snapToGrid/>
          <w:kern w:val="2"/>
          <w:sz w:val="32"/>
          <w:szCs w:val="32"/>
          <w:lang w:val="en-US" w:eastAsia="zh-CN"/>
        </w:rPr>
      </w:pPr>
    </w:p>
    <w:p w14:paraId="0791F44D">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576" w:lineRule="exact"/>
        <w:ind w:firstLine="640"/>
        <w:jc w:val="left"/>
        <w:textAlignment w:val="auto"/>
        <w:rPr>
          <w:rFonts w:hint="eastAsia" w:ascii="方正仿宋_GBK" w:hAnsi="方正仿宋_GBK" w:eastAsia="方正仿宋_GBK" w:cs="方正仿宋_GBK"/>
          <w:b w:val="0"/>
          <w:bCs w:val="0"/>
          <w:snapToGrid/>
          <w:kern w:val="2"/>
          <w:sz w:val="32"/>
          <w:szCs w:val="32"/>
          <w:lang w:val="en-US" w:eastAsia="zh-CN"/>
        </w:rPr>
      </w:pPr>
    </w:p>
    <w:p w14:paraId="0E0B83F2">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576" w:lineRule="exact"/>
        <w:ind w:firstLine="640"/>
        <w:jc w:val="left"/>
        <w:textAlignment w:val="auto"/>
        <w:rPr>
          <w:rFonts w:hint="eastAsia" w:ascii="方正仿宋_GBK" w:hAnsi="方正仿宋_GBK" w:eastAsia="方正仿宋_GBK" w:cs="方正仿宋_GBK"/>
          <w:b w:val="0"/>
          <w:bCs w:val="0"/>
          <w:snapToGrid/>
          <w:kern w:val="2"/>
          <w:sz w:val="32"/>
          <w:szCs w:val="32"/>
          <w:lang w:val="en-US" w:eastAsia="zh-CN"/>
        </w:rPr>
      </w:pPr>
    </w:p>
    <w:p w14:paraId="2E1CCABB">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576" w:lineRule="exact"/>
        <w:ind w:firstLine="640"/>
        <w:jc w:val="left"/>
        <w:textAlignment w:val="auto"/>
        <w:rPr>
          <w:rFonts w:hint="eastAsia" w:ascii="方正仿宋_GBK" w:hAnsi="方正仿宋_GBK" w:eastAsia="方正仿宋_GBK" w:cs="方正仿宋_GBK"/>
          <w:b w:val="0"/>
          <w:bCs w:val="0"/>
          <w:snapToGrid/>
          <w:kern w:val="2"/>
          <w:sz w:val="32"/>
          <w:szCs w:val="32"/>
          <w:lang w:val="en-US" w:eastAsia="zh-CN"/>
        </w:rPr>
      </w:pPr>
    </w:p>
    <w:p w14:paraId="1B10CC81">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576" w:lineRule="exact"/>
        <w:ind w:firstLine="640"/>
        <w:jc w:val="left"/>
        <w:textAlignment w:val="auto"/>
        <w:rPr>
          <w:rFonts w:hint="eastAsia" w:ascii="方正仿宋_GBK" w:hAnsi="方正仿宋_GBK" w:eastAsia="方正仿宋_GBK" w:cs="方正仿宋_GBK"/>
          <w:b w:val="0"/>
          <w:bCs w:val="0"/>
          <w:snapToGrid/>
          <w:kern w:val="2"/>
          <w:sz w:val="32"/>
          <w:szCs w:val="32"/>
          <w:lang w:val="en-US" w:eastAsia="zh-CN"/>
        </w:rPr>
      </w:pPr>
    </w:p>
    <w:p w14:paraId="751B30FD">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576" w:lineRule="exact"/>
        <w:ind w:firstLine="640"/>
        <w:jc w:val="left"/>
        <w:textAlignment w:val="auto"/>
        <w:rPr>
          <w:rFonts w:hint="eastAsia" w:ascii="方正仿宋_GBK" w:hAnsi="方正仿宋_GBK" w:eastAsia="方正仿宋_GBK" w:cs="方正仿宋_GBK"/>
          <w:b w:val="0"/>
          <w:bCs w:val="0"/>
          <w:snapToGrid/>
          <w:kern w:val="2"/>
          <w:sz w:val="32"/>
          <w:szCs w:val="32"/>
          <w:lang w:val="en-US" w:eastAsia="zh-CN"/>
        </w:rPr>
      </w:pPr>
    </w:p>
    <w:p w14:paraId="72628923">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576" w:lineRule="exact"/>
        <w:ind w:firstLine="640"/>
        <w:jc w:val="left"/>
        <w:textAlignment w:val="auto"/>
        <w:rPr>
          <w:rFonts w:hint="eastAsia" w:ascii="方正仿宋_GBK" w:hAnsi="方正仿宋_GBK" w:eastAsia="方正仿宋_GBK" w:cs="方正仿宋_GBK"/>
          <w:b w:val="0"/>
          <w:bCs w:val="0"/>
          <w:snapToGrid/>
          <w:kern w:val="2"/>
          <w:sz w:val="32"/>
          <w:szCs w:val="32"/>
          <w:lang w:val="en-US" w:eastAsia="zh-CN"/>
        </w:rPr>
      </w:pPr>
    </w:p>
    <w:p w14:paraId="5AE44DFD">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576" w:lineRule="exact"/>
        <w:ind w:firstLine="640"/>
        <w:jc w:val="left"/>
        <w:textAlignment w:val="auto"/>
        <w:rPr>
          <w:rFonts w:hint="eastAsia" w:ascii="方正仿宋_GBK" w:hAnsi="方正仿宋_GBK" w:eastAsia="方正仿宋_GBK" w:cs="方正仿宋_GBK"/>
          <w:b w:val="0"/>
          <w:bCs w:val="0"/>
          <w:snapToGrid/>
          <w:kern w:val="2"/>
          <w:sz w:val="32"/>
          <w:szCs w:val="32"/>
          <w:lang w:val="en-US" w:eastAsia="zh-CN"/>
        </w:rPr>
      </w:pPr>
    </w:p>
    <w:p w14:paraId="51B13803">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576" w:lineRule="exact"/>
        <w:ind w:firstLine="640"/>
        <w:jc w:val="left"/>
        <w:textAlignment w:val="auto"/>
        <w:rPr>
          <w:rFonts w:hint="eastAsia" w:ascii="方正仿宋_GBK" w:hAnsi="方正仿宋_GBK" w:eastAsia="方正仿宋_GBK" w:cs="方正仿宋_GBK"/>
          <w:b w:val="0"/>
          <w:bCs w:val="0"/>
          <w:snapToGrid/>
          <w:kern w:val="2"/>
          <w:sz w:val="32"/>
          <w:szCs w:val="32"/>
          <w:lang w:val="en-US" w:eastAsia="zh-CN"/>
        </w:rPr>
      </w:pPr>
    </w:p>
    <w:p w14:paraId="6A47486D">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576" w:lineRule="exact"/>
        <w:ind w:firstLine="640"/>
        <w:jc w:val="left"/>
        <w:textAlignment w:val="auto"/>
        <w:rPr>
          <w:rFonts w:hint="eastAsia" w:ascii="方正仿宋_GBK" w:hAnsi="方正仿宋_GBK" w:eastAsia="方正仿宋_GBK" w:cs="方正仿宋_GBK"/>
          <w:b w:val="0"/>
          <w:bCs w:val="0"/>
          <w:snapToGrid/>
          <w:kern w:val="2"/>
          <w:sz w:val="32"/>
          <w:szCs w:val="32"/>
          <w:lang w:val="en-US" w:eastAsia="zh-CN"/>
        </w:rPr>
      </w:pPr>
    </w:p>
    <w:p w14:paraId="6CB23BF7">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576" w:lineRule="exact"/>
        <w:ind w:firstLine="640"/>
        <w:jc w:val="left"/>
        <w:textAlignment w:val="auto"/>
        <w:rPr>
          <w:rFonts w:hint="eastAsia" w:ascii="方正仿宋_GBK" w:hAnsi="方正仿宋_GBK" w:eastAsia="方正仿宋_GBK" w:cs="方正仿宋_GBK"/>
          <w:b w:val="0"/>
          <w:bCs w:val="0"/>
          <w:snapToGrid/>
          <w:kern w:val="2"/>
          <w:sz w:val="32"/>
          <w:szCs w:val="32"/>
          <w:lang w:val="en-US" w:eastAsia="zh-CN"/>
        </w:rPr>
      </w:pPr>
    </w:p>
    <w:p w14:paraId="101F1FCA">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576" w:lineRule="exact"/>
        <w:ind w:firstLine="640"/>
        <w:jc w:val="left"/>
        <w:textAlignment w:val="auto"/>
        <w:rPr>
          <w:rFonts w:hint="eastAsia" w:ascii="方正仿宋_GBK" w:hAnsi="方正仿宋_GBK" w:eastAsia="方正仿宋_GBK" w:cs="方正仿宋_GBK"/>
          <w:b w:val="0"/>
          <w:bCs w:val="0"/>
          <w:snapToGrid/>
          <w:kern w:val="2"/>
          <w:sz w:val="32"/>
          <w:szCs w:val="32"/>
          <w:lang w:val="en-US" w:eastAsia="zh-CN"/>
        </w:rPr>
      </w:pPr>
    </w:p>
    <w:p w14:paraId="061669FC">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576" w:lineRule="exact"/>
        <w:ind w:firstLine="640"/>
        <w:jc w:val="left"/>
        <w:textAlignment w:val="auto"/>
        <w:rPr>
          <w:rFonts w:hint="eastAsia" w:ascii="方正仿宋_GBK" w:hAnsi="方正仿宋_GBK" w:eastAsia="方正仿宋_GBK" w:cs="方正仿宋_GBK"/>
          <w:b w:val="0"/>
          <w:bCs w:val="0"/>
          <w:snapToGrid/>
          <w:kern w:val="2"/>
          <w:sz w:val="32"/>
          <w:szCs w:val="32"/>
          <w:lang w:val="en-US" w:eastAsia="zh-CN"/>
        </w:rPr>
      </w:pPr>
    </w:p>
    <w:p w14:paraId="28BB55CE">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576" w:lineRule="exact"/>
        <w:ind w:firstLine="640"/>
        <w:jc w:val="left"/>
        <w:textAlignment w:val="auto"/>
        <w:rPr>
          <w:rFonts w:hint="eastAsia" w:ascii="方正仿宋_GBK" w:hAnsi="方正仿宋_GBK" w:eastAsia="方正仿宋_GBK" w:cs="方正仿宋_GBK"/>
          <w:b w:val="0"/>
          <w:bCs w:val="0"/>
          <w:snapToGrid/>
          <w:kern w:val="2"/>
          <w:sz w:val="32"/>
          <w:szCs w:val="32"/>
          <w:lang w:val="en-US" w:eastAsia="zh-CN"/>
        </w:rPr>
      </w:pPr>
    </w:p>
    <w:p w14:paraId="362E89C2">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576" w:lineRule="exact"/>
        <w:ind w:firstLine="640"/>
        <w:jc w:val="left"/>
        <w:textAlignment w:val="auto"/>
        <w:rPr>
          <w:rFonts w:hint="eastAsia" w:ascii="方正仿宋_GBK" w:hAnsi="方正仿宋_GBK" w:eastAsia="方正仿宋_GBK" w:cs="方正仿宋_GBK"/>
          <w:b w:val="0"/>
          <w:bCs w:val="0"/>
          <w:snapToGrid/>
          <w:kern w:val="2"/>
          <w:sz w:val="32"/>
          <w:szCs w:val="32"/>
          <w:lang w:val="en-US" w:eastAsia="zh-CN"/>
        </w:rPr>
      </w:pPr>
    </w:p>
    <w:p w14:paraId="29BC09A9">
      <w:pPr>
        <w:keepNext w:val="0"/>
        <w:keepLines w:val="0"/>
        <w:pageBreakBefore w:val="0"/>
        <w:widowControl w:val="0"/>
        <w:suppressLineNumbers w:val="0"/>
        <w:kinsoku/>
        <w:wordWrap/>
        <w:overflowPunct/>
        <w:topLinePunct w:val="0"/>
        <w:autoSpaceDE/>
        <w:autoSpaceDN/>
        <w:bidi w:val="0"/>
        <w:adjustRightInd/>
        <w:snapToGrid/>
        <w:spacing w:line="576" w:lineRule="exact"/>
        <w:jc w:val="center"/>
        <w:textAlignment w:val="auto"/>
        <w:rPr>
          <w:rFonts w:hint="eastAsia" w:ascii="方正小标宋_GBK" w:hAnsi="方正小标宋_GBK" w:eastAsia="方正小标宋_GBK" w:cs="方正小标宋_GBK"/>
          <w:b w:val="0"/>
          <w:i w:val="0"/>
          <w:snapToGrid/>
          <w:spacing w:val="7"/>
          <w:kern w:val="0"/>
          <w:sz w:val="44"/>
          <w:szCs w:val="44"/>
          <w:u w:val="none"/>
          <w:lang w:val="en-US" w:eastAsia="zh-CN" w:bidi="ar"/>
        </w:rPr>
      </w:pPr>
    </w:p>
    <w:p w14:paraId="267BDDE2">
      <w:pPr>
        <w:keepNext w:val="0"/>
        <w:keepLines w:val="0"/>
        <w:pageBreakBefore w:val="0"/>
        <w:widowControl w:val="0"/>
        <w:suppressLineNumbers w:val="0"/>
        <w:kinsoku/>
        <w:wordWrap/>
        <w:overflowPunct/>
        <w:topLinePunct w:val="0"/>
        <w:autoSpaceDE/>
        <w:autoSpaceDN/>
        <w:bidi w:val="0"/>
        <w:adjustRightInd/>
        <w:snapToGrid/>
        <w:spacing w:line="576" w:lineRule="exact"/>
        <w:jc w:val="center"/>
        <w:textAlignment w:val="auto"/>
        <w:rPr>
          <w:rFonts w:hint="eastAsia" w:ascii="方正小标宋_GBK" w:hAnsi="方正小标宋_GBK" w:eastAsia="方正小标宋_GBK" w:cs="方正小标宋_GBK"/>
          <w:b w:val="0"/>
          <w:i w:val="0"/>
          <w:snapToGrid/>
          <w:spacing w:val="7"/>
          <w:kern w:val="0"/>
          <w:sz w:val="44"/>
          <w:szCs w:val="44"/>
          <w:u w:val="none"/>
          <w:lang w:val="en-US" w:eastAsia="zh-CN" w:bidi="ar"/>
        </w:rPr>
      </w:pPr>
    </w:p>
    <w:p w14:paraId="162723BA">
      <w:pPr>
        <w:keepNext w:val="0"/>
        <w:keepLines w:val="0"/>
        <w:pageBreakBefore w:val="0"/>
        <w:widowControl w:val="0"/>
        <w:suppressLineNumbers w:val="0"/>
        <w:kinsoku/>
        <w:wordWrap/>
        <w:overflowPunct/>
        <w:topLinePunct w:val="0"/>
        <w:autoSpaceDE/>
        <w:autoSpaceDN/>
        <w:bidi w:val="0"/>
        <w:adjustRightInd/>
        <w:snapToGrid/>
        <w:spacing w:line="576" w:lineRule="exact"/>
        <w:jc w:val="center"/>
        <w:textAlignment w:val="auto"/>
        <w:rPr>
          <w:rFonts w:hint="eastAsia" w:ascii="方正小标宋_GBK" w:hAnsi="方正小标宋_GBK" w:eastAsia="方正小标宋_GBK" w:cs="方正小标宋_GBK"/>
          <w:b w:val="0"/>
          <w:i w:val="0"/>
          <w:snapToGrid/>
          <w:spacing w:val="7"/>
          <w:kern w:val="0"/>
          <w:sz w:val="44"/>
          <w:szCs w:val="44"/>
          <w:u w:val="none"/>
          <w:lang w:val="en-US" w:eastAsia="zh-CN" w:bidi="ar"/>
        </w:rPr>
      </w:pPr>
    </w:p>
    <w:p w14:paraId="20E5A36D">
      <w:pPr>
        <w:keepNext w:val="0"/>
        <w:keepLines w:val="0"/>
        <w:pageBreakBefore w:val="0"/>
        <w:widowControl w:val="0"/>
        <w:suppressLineNumbers w:val="0"/>
        <w:kinsoku/>
        <w:wordWrap/>
        <w:overflowPunct/>
        <w:topLinePunct w:val="0"/>
        <w:autoSpaceDE/>
        <w:autoSpaceDN/>
        <w:bidi w:val="0"/>
        <w:adjustRightInd/>
        <w:snapToGrid/>
        <w:spacing w:line="576" w:lineRule="exact"/>
        <w:jc w:val="center"/>
        <w:textAlignment w:val="auto"/>
        <w:rPr>
          <w:rFonts w:hint="eastAsia" w:ascii="方正小标宋_GBK" w:hAnsi="方正小标宋_GBK" w:eastAsia="方正小标宋_GBK" w:cs="方正小标宋_GBK"/>
          <w:b w:val="0"/>
          <w:i w:val="0"/>
          <w:snapToGrid/>
          <w:spacing w:val="7"/>
          <w:kern w:val="0"/>
          <w:sz w:val="44"/>
          <w:szCs w:val="44"/>
          <w:u w:val="none"/>
          <w:lang w:val="en-US" w:eastAsia="zh-CN" w:bidi="ar"/>
        </w:rPr>
      </w:pPr>
    </w:p>
    <w:p w14:paraId="17A60E75">
      <w:pPr>
        <w:keepNext w:val="0"/>
        <w:keepLines w:val="0"/>
        <w:pageBreakBefore w:val="0"/>
        <w:widowControl w:val="0"/>
        <w:suppressLineNumbers w:val="0"/>
        <w:kinsoku/>
        <w:wordWrap/>
        <w:overflowPunct/>
        <w:topLinePunct w:val="0"/>
        <w:autoSpaceDE/>
        <w:autoSpaceDN/>
        <w:bidi w:val="0"/>
        <w:adjustRightInd/>
        <w:snapToGrid/>
        <w:spacing w:line="576" w:lineRule="exact"/>
        <w:jc w:val="center"/>
        <w:textAlignment w:val="auto"/>
        <w:rPr>
          <w:rFonts w:hint="eastAsia" w:ascii="方正小标宋_GBK" w:hAnsi="方正小标宋_GBK" w:eastAsia="方正小标宋_GBK" w:cs="方正小标宋_GBK"/>
          <w:b w:val="0"/>
          <w:i w:val="0"/>
          <w:snapToGrid/>
          <w:spacing w:val="7"/>
          <w:kern w:val="0"/>
          <w:sz w:val="44"/>
          <w:szCs w:val="44"/>
          <w:u w:val="none"/>
          <w:lang w:val="en-US" w:eastAsia="zh-CN" w:bidi="ar"/>
        </w:rPr>
      </w:pPr>
      <w:r>
        <w:rPr>
          <w:rFonts w:hint="eastAsia" w:ascii="方正小标宋_GBK" w:hAnsi="方正小标宋_GBK" w:eastAsia="方正小标宋_GBK" w:cs="方正小标宋_GBK"/>
          <w:b w:val="0"/>
          <w:i w:val="0"/>
          <w:snapToGrid/>
          <w:spacing w:val="7"/>
          <w:kern w:val="0"/>
          <w:sz w:val="44"/>
          <w:szCs w:val="44"/>
          <w:u w:val="none"/>
          <w:lang w:val="en-US" w:eastAsia="zh-CN" w:bidi="ar"/>
        </w:rPr>
        <w:t>县属国有企业投资项目负面清单</w:t>
      </w:r>
    </w:p>
    <w:p w14:paraId="38D3E6AA">
      <w:pPr>
        <w:keepNext w:val="0"/>
        <w:keepLines w:val="0"/>
        <w:pageBreakBefore w:val="0"/>
        <w:widowControl w:val="0"/>
        <w:suppressLineNumbers w:val="0"/>
        <w:kinsoku/>
        <w:wordWrap/>
        <w:overflowPunct/>
        <w:topLinePunct w:val="0"/>
        <w:autoSpaceDE/>
        <w:autoSpaceDN/>
        <w:bidi w:val="0"/>
        <w:adjustRightInd/>
        <w:snapToGrid/>
        <w:spacing w:line="576" w:lineRule="exact"/>
        <w:jc w:val="both"/>
        <w:textAlignment w:val="auto"/>
        <w:rPr>
          <w:rFonts w:hint="eastAsia" w:ascii="方正黑体_GBK" w:hAnsi="方正黑体_GBK" w:eastAsia="方正黑体_GBK" w:cs="方正黑体_GBK"/>
          <w:b w:val="0"/>
          <w:i w:val="0"/>
          <w:snapToGrid/>
          <w:spacing w:val="7"/>
          <w:kern w:val="0"/>
          <w:sz w:val="44"/>
          <w:szCs w:val="44"/>
          <w:u w:val="none"/>
          <w:lang w:val="en-US" w:eastAsia="zh-CN" w:bidi="ar"/>
        </w:rPr>
      </w:pPr>
    </w:p>
    <w:p w14:paraId="5BECF8F7">
      <w:pPr>
        <w:keepNext w:val="0"/>
        <w:keepLines w:val="0"/>
        <w:pageBreakBefore w:val="0"/>
        <w:widowControl w:val="0"/>
        <w:suppressLineNumbers w:val="0"/>
        <w:kinsoku/>
        <w:wordWrap/>
        <w:overflowPunct/>
        <w:topLinePunct w:val="0"/>
        <w:autoSpaceDE/>
        <w:autoSpaceDN/>
        <w:bidi w:val="0"/>
        <w:adjustRightInd/>
        <w:snapToGrid/>
        <w:spacing w:line="576" w:lineRule="exact"/>
        <w:ind w:firstLine="668" w:firstLineChars="200"/>
        <w:jc w:val="both"/>
        <w:textAlignment w:val="auto"/>
        <w:rPr>
          <w:rFonts w:hint="eastAsia" w:ascii="方正黑体_GBK" w:hAnsi="方正黑体_GBK" w:eastAsia="方正黑体_GBK" w:cs="方正黑体_GBK"/>
          <w:b w:val="0"/>
          <w:i w:val="0"/>
          <w:snapToGrid/>
          <w:spacing w:val="7"/>
          <w:kern w:val="0"/>
          <w:sz w:val="32"/>
          <w:szCs w:val="32"/>
          <w:u w:val="none"/>
          <w:lang w:val="en-US" w:eastAsia="zh-CN" w:bidi="ar"/>
        </w:rPr>
      </w:pPr>
      <w:r>
        <w:rPr>
          <w:rFonts w:hint="eastAsia" w:ascii="方正黑体_GBK" w:hAnsi="方正黑体_GBK" w:eastAsia="方正黑体_GBK" w:cs="方正黑体_GBK"/>
          <w:b w:val="0"/>
          <w:i w:val="0"/>
          <w:snapToGrid/>
          <w:spacing w:val="7"/>
          <w:kern w:val="0"/>
          <w:sz w:val="32"/>
          <w:szCs w:val="32"/>
          <w:u w:val="none"/>
          <w:lang w:val="en-US" w:eastAsia="zh-CN" w:bidi="ar"/>
        </w:rPr>
        <w:t>一、禁止类投资项目</w:t>
      </w:r>
    </w:p>
    <w:p w14:paraId="623DA016">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576" w:lineRule="exact"/>
        <w:ind w:firstLine="640"/>
        <w:jc w:val="left"/>
        <w:textAlignment w:val="auto"/>
        <w:rPr>
          <w:rFonts w:hint="eastAsia" w:ascii="方正仿宋_GBK" w:hAnsi="方正仿宋_GBK" w:eastAsia="方正仿宋_GBK" w:cs="方正仿宋_GBK"/>
          <w:b w:val="0"/>
          <w:bCs w:val="0"/>
          <w:snapToGrid/>
          <w:kern w:val="2"/>
          <w:sz w:val="32"/>
          <w:szCs w:val="32"/>
          <w:lang w:val="en-US" w:eastAsia="zh-CN"/>
        </w:rPr>
      </w:pPr>
      <w:r>
        <w:rPr>
          <w:rFonts w:hint="eastAsia" w:ascii="方正仿宋_GBK" w:hAnsi="方正仿宋_GBK" w:eastAsia="方正仿宋_GBK" w:cs="方正仿宋_GBK"/>
          <w:b w:val="0"/>
          <w:bCs w:val="0"/>
          <w:snapToGrid/>
          <w:kern w:val="2"/>
          <w:sz w:val="32"/>
          <w:szCs w:val="32"/>
          <w:lang w:val="en-US" w:eastAsia="zh-CN"/>
        </w:rPr>
        <w:t>1. 不符合国家和项目投资所在地产业政策、行业准入条件和技术规范的投资项目。</w:t>
      </w:r>
    </w:p>
    <w:p w14:paraId="486E77BD">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576" w:lineRule="exact"/>
        <w:ind w:firstLine="640"/>
        <w:jc w:val="left"/>
        <w:textAlignment w:val="auto"/>
        <w:rPr>
          <w:rFonts w:hint="eastAsia" w:ascii="方正仿宋_GBK" w:hAnsi="方正仿宋_GBK" w:eastAsia="方正仿宋_GBK" w:cs="方正仿宋_GBK"/>
          <w:b w:val="0"/>
          <w:bCs w:val="0"/>
          <w:snapToGrid/>
          <w:kern w:val="2"/>
          <w:sz w:val="32"/>
          <w:szCs w:val="32"/>
          <w:lang w:val="en-US" w:eastAsia="zh-CN"/>
        </w:rPr>
      </w:pPr>
      <w:r>
        <w:rPr>
          <w:rFonts w:hint="eastAsia" w:ascii="方正仿宋_GBK" w:hAnsi="方正仿宋_GBK" w:eastAsia="方正仿宋_GBK" w:cs="方正仿宋_GBK"/>
          <w:b w:val="0"/>
          <w:bCs w:val="0"/>
          <w:snapToGrid/>
          <w:kern w:val="2"/>
          <w:sz w:val="32"/>
          <w:szCs w:val="32"/>
          <w:lang w:val="en-US" w:eastAsia="zh-CN"/>
        </w:rPr>
        <w:t>2. 不符合环保、土地、能源消耗、污染排放、安全生产等有关法律法规的项目。</w:t>
      </w:r>
    </w:p>
    <w:p w14:paraId="60220983">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576" w:lineRule="exact"/>
        <w:ind w:firstLine="640"/>
        <w:jc w:val="left"/>
        <w:textAlignment w:val="auto"/>
        <w:rPr>
          <w:rFonts w:hint="eastAsia" w:ascii="方正仿宋_GBK" w:hAnsi="方正仿宋_GBK" w:eastAsia="方正仿宋_GBK" w:cs="方正仿宋_GBK"/>
          <w:b w:val="0"/>
          <w:bCs w:val="0"/>
          <w:snapToGrid/>
          <w:kern w:val="2"/>
          <w:sz w:val="32"/>
          <w:szCs w:val="32"/>
          <w:lang w:val="en-US" w:eastAsia="zh-CN"/>
        </w:rPr>
      </w:pPr>
      <w:r>
        <w:rPr>
          <w:rFonts w:hint="eastAsia" w:ascii="方正仿宋_GBK" w:hAnsi="方正仿宋_GBK" w:eastAsia="方正仿宋_GBK" w:cs="方正仿宋_GBK"/>
          <w:b w:val="0"/>
          <w:bCs w:val="0"/>
          <w:snapToGrid/>
          <w:kern w:val="2"/>
          <w:sz w:val="32"/>
          <w:szCs w:val="32"/>
          <w:lang w:val="en-US" w:eastAsia="zh-CN"/>
        </w:rPr>
        <w:t>3. 不符合国有资本布局和结构调整导向的投资项目。</w:t>
      </w:r>
    </w:p>
    <w:p w14:paraId="290DABF5">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576" w:lineRule="exact"/>
        <w:ind w:firstLine="640"/>
        <w:jc w:val="left"/>
        <w:textAlignment w:val="auto"/>
        <w:rPr>
          <w:rFonts w:hint="eastAsia" w:ascii="方正仿宋_GBK" w:hAnsi="方正仿宋_GBK" w:eastAsia="方正仿宋_GBK" w:cs="方正仿宋_GBK"/>
          <w:b w:val="0"/>
          <w:bCs w:val="0"/>
          <w:snapToGrid/>
          <w:kern w:val="2"/>
          <w:sz w:val="32"/>
          <w:szCs w:val="32"/>
          <w:lang w:val="en-US" w:eastAsia="zh-CN"/>
        </w:rPr>
      </w:pPr>
      <w:r>
        <w:rPr>
          <w:rFonts w:hint="eastAsia" w:ascii="方正仿宋_GBK" w:hAnsi="方正仿宋_GBK" w:eastAsia="方正仿宋_GBK" w:cs="方正仿宋_GBK"/>
          <w:b w:val="0"/>
          <w:bCs w:val="0"/>
          <w:snapToGrid/>
          <w:kern w:val="2"/>
          <w:sz w:val="32"/>
          <w:szCs w:val="32"/>
          <w:lang w:val="en-US" w:eastAsia="zh-CN"/>
        </w:rPr>
        <w:t>4. 不符合县属国有企业功能定位、发展战略规划的投资项目。</w:t>
      </w:r>
    </w:p>
    <w:p w14:paraId="155A1F30">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576" w:lineRule="exact"/>
        <w:ind w:firstLine="640"/>
        <w:jc w:val="left"/>
        <w:textAlignment w:val="auto"/>
        <w:rPr>
          <w:rFonts w:hint="eastAsia" w:ascii="方正仿宋_GBK" w:hAnsi="方正仿宋_GBK" w:eastAsia="方正仿宋_GBK" w:cs="方正仿宋_GBK"/>
          <w:b w:val="0"/>
          <w:bCs w:val="0"/>
          <w:snapToGrid/>
          <w:kern w:val="2"/>
          <w:sz w:val="32"/>
          <w:szCs w:val="32"/>
          <w:lang w:val="en-US" w:eastAsia="zh-CN"/>
        </w:rPr>
      </w:pPr>
      <w:r>
        <w:rPr>
          <w:rFonts w:hint="eastAsia" w:ascii="方正仿宋_GBK" w:hAnsi="方正仿宋_GBK" w:eastAsia="方正仿宋_GBK" w:cs="方正仿宋_GBK"/>
          <w:b w:val="0"/>
          <w:bCs w:val="0"/>
          <w:snapToGrid/>
          <w:kern w:val="2"/>
          <w:sz w:val="32"/>
          <w:szCs w:val="32"/>
          <w:lang w:val="en-US" w:eastAsia="zh-CN"/>
        </w:rPr>
        <w:t>5. 不符合县属国有企业投资管理制度和决策程序的投资项目。</w:t>
      </w:r>
    </w:p>
    <w:p w14:paraId="4732519F">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576" w:lineRule="exact"/>
        <w:ind w:firstLine="640"/>
        <w:jc w:val="left"/>
        <w:textAlignment w:val="auto"/>
        <w:rPr>
          <w:rFonts w:hint="eastAsia" w:ascii="方正仿宋_GBK" w:hAnsi="方正仿宋_GBK" w:eastAsia="方正仿宋_GBK" w:cs="方正仿宋_GBK"/>
          <w:b w:val="0"/>
          <w:bCs w:val="0"/>
          <w:snapToGrid/>
          <w:kern w:val="2"/>
          <w:sz w:val="32"/>
          <w:szCs w:val="32"/>
          <w:lang w:val="en-US" w:eastAsia="zh-CN"/>
        </w:rPr>
      </w:pPr>
      <w:r>
        <w:rPr>
          <w:rFonts w:hint="eastAsia" w:ascii="方正仿宋_GBK" w:hAnsi="方正仿宋_GBK" w:eastAsia="方正仿宋_GBK" w:cs="方正仿宋_GBK"/>
          <w:b w:val="0"/>
          <w:bCs w:val="0"/>
          <w:snapToGrid/>
          <w:kern w:val="2"/>
          <w:sz w:val="32"/>
          <w:szCs w:val="32"/>
          <w:lang w:val="en-US" w:eastAsia="zh-CN"/>
        </w:rPr>
        <w:t>6. 未按照规定履行行政许可审批程序或县政府国资委审批程序的投资项目。</w:t>
      </w:r>
    </w:p>
    <w:p w14:paraId="058F7A00">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576" w:lineRule="exact"/>
        <w:ind w:firstLine="640"/>
        <w:jc w:val="left"/>
        <w:textAlignment w:val="auto"/>
        <w:rPr>
          <w:rFonts w:hint="eastAsia" w:ascii="方正仿宋_GBK" w:hAnsi="方正仿宋_GBK" w:eastAsia="方正仿宋_GBK" w:cs="方正仿宋_GBK"/>
          <w:b w:val="0"/>
          <w:bCs w:val="0"/>
          <w:snapToGrid/>
          <w:kern w:val="2"/>
          <w:sz w:val="32"/>
          <w:szCs w:val="32"/>
          <w:lang w:val="en-US" w:eastAsia="zh-CN"/>
        </w:rPr>
      </w:pPr>
      <w:r>
        <w:rPr>
          <w:rFonts w:hint="eastAsia" w:ascii="方正仿宋_GBK" w:hAnsi="方正仿宋_GBK" w:eastAsia="方正仿宋_GBK" w:cs="方正仿宋_GBK"/>
          <w:b w:val="0"/>
          <w:bCs w:val="0"/>
          <w:snapToGrid/>
          <w:kern w:val="2"/>
          <w:sz w:val="32"/>
          <w:szCs w:val="32"/>
          <w:lang w:val="en-US" w:eastAsia="zh-CN"/>
        </w:rPr>
        <w:t>7. 非房地产主业县属国有企业新购土地开展商业性房地产投资项目。</w:t>
      </w:r>
    </w:p>
    <w:p w14:paraId="029E682A">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576" w:lineRule="exact"/>
        <w:ind w:firstLine="640"/>
        <w:jc w:val="left"/>
        <w:textAlignment w:val="auto"/>
        <w:rPr>
          <w:rFonts w:hint="eastAsia" w:ascii="方正仿宋_GBK" w:hAnsi="方正仿宋_GBK" w:eastAsia="方正仿宋_GBK" w:cs="方正仿宋_GBK"/>
          <w:b w:val="0"/>
          <w:bCs w:val="0"/>
          <w:snapToGrid/>
          <w:kern w:val="2"/>
          <w:sz w:val="32"/>
          <w:szCs w:val="32"/>
          <w:lang w:val="en-US" w:eastAsia="zh-CN"/>
        </w:rPr>
      </w:pPr>
      <w:r>
        <w:rPr>
          <w:rFonts w:hint="eastAsia" w:ascii="方正仿宋_GBK" w:hAnsi="方正仿宋_GBK" w:eastAsia="方正仿宋_GBK" w:cs="方正仿宋_GBK"/>
          <w:b w:val="0"/>
          <w:bCs w:val="0"/>
          <w:snapToGrid/>
          <w:kern w:val="2"/>
          <w:sz w:val="32"/>
          <w:szCs w:val="32"/>
          <w:lang w:val="en-US" w:eastAsia="zh-CN"/>
        </w:rPr>
        <w:t>8. 落后产能并购、投资项目。</w:t>
      </w:r>
    </w:p>
    <w:p w14:paraId="2FC3930E">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576" w:lineRule="exact"/>
        <w:ind w:firstLine="640"/>
        <w:jc w:val="left"/>
        <w:textAlignment w:val="auto"/>
        <w:rPr>
          <w:rFonts w:hint="eastAsia" w:ascii="方正仿宋_GBK" w:hAnsi="方正仿宋_GBK" w:eastAsia="方正仿宋_GBK" w:cs="方正仿宋_GBK"/>
          <w:b w:val="0"/>
          <w:bCs w:val="0"/>
          <w:snapToGrid/>
          <w:kern w:val="2"/>
          <w:sz w:val="32"/>
          <w:szCs w:val="32"/>
          <w:lang w:val="en-US" w:eastAsia="zh-CN"/>
        </w:rPr>
      </w:pPr>
      <w:r>
        <w:rPr>
          <w:rFonts w:hint="eastAsia" w:ascii="方正仿宋_GBK" w:hAnsi="方正仿宋_GBK" w:eastAsia="方正仿宋_GBK" w:cs="方正仿宋_GBK"/>
          <w:b w:val="0"/>
          <w:bCs w:val="0"/>
          <w:snapToGrid/>
          <w:kern w:val="2"/>
          <w:sz w:val="32"/>
          <w:szCs w:val="32"/>
          <w:lang w:val="en-US" w:eastAsia="zh-CN"/>
        </w:rPr>
        <w:t>9. 未明确融资、投资、管理、退出方式的投资项目。</w:t>
      </w:r>
    </w:p>
    <w:p w14:paraId="4B9FFD45">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576" w:lineRule="exact"/>
        <w:ind w:firstLine="640"/>
        <w:jc w:val="left"/>
        <w:textAlignment w:val="auto"/>
        <w:rPr>
          <w:rFonts w:hint="eastAsia" w:ascii="方正仿宋_GBK" w:hAnsi="方正仿宋_GBK" w:eastAsia="方正仿宋_GBK" w:cs="方正仿宋_GBK"/>
          <w:b w:val="0"/>
          <w:bCs w:val="0"/>
          <w:snapToGrid/>
          <w:kern w:val="2"/>
          <w:sz w:val="32"/>
          <w:szCs w:val="32"/>
          <w:lang w:val="en-US" w:eastAsia="zh-CN"/>
        </w:rPr>
      </w:pPr>
      <w:r>
        <w:rPr>
          <w:rFonts w:hint="eastAsia" w:ascii="方正仿宋_GBK" w:hAnsi="方正仿宋_GBK" w:eastAsia="方正仿宋_GBK" w:cs="方正仿宋_GBK"/>
          <w:b w:val="0"/>
          <w:bCs w:val="0"/>
          <w:snapToGrid/>
          <w:kern w:val="2"/>
          <w:sz w:val="32"/>
          <w:szCs w:val="32"/>
          <w:lang w:val="en-US" w:eastAsia="zh-CN"/>
        </w:rPr>
        <w:t>10. 刻意拆分或调整项目投资额规避监管的投资项目。</w:t>
      </w:r>
    </w:p>
    <w:p w14:paraId="3224DC8B">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576" w:lineRule="exact"/>
        <w:ind w:firstLine="640"/>
        <w:jc w:val="left"/>
        <w:textAlignment w:val="auto"/>
        <w:rPr>
          <w:rFonts w:hint="eastAsia" w:ascii="方正仿宋_GBK" w:hAnsi="方正仿宋_GBK" w:eastAsia="方正仿宋_GBK" w:cs="方正仿宋_GBK"/>
          <w:b w:val="0"/>
          <w:bCs w:val="0"/>
          <w:snapToGrid/>
          <w:kern w:val="2"/>
          <w:sz w:val="32"/>
          <w:szCs w:val="32"/>
          <w:lang w:val="en-US" w:eastAsia="zh-CN"/>
        </w:rPr>
      </w:pPr>
      <w:r>
        <w:rPr>
          <w:rFonts w:hint="eastAsia" w:ascii="方正仿宋_GBK" w:hAnsi="方正仿宋_GBK" w:eastAsia="方正仿宋_GBK" w:cs="方正仿宋_GBK"/>
          <w:b w:val="0"/>
          <w:bCs w:val="0"/>
          <w:snapToGrid/>
          <w:kern w:val="2"/>
          <w:sz w:val="32"/>
          <w:szCs w:val="32"/>
          <w:lang w:val="en-US" w:eastAsia="zh-CN"/>
        </w:rPr>
        <w:t>11. 可行性研究论证中存在重大不确定性因素的投资项目。</w:t>
      </w:r>
    </w:p>
    <w:p w14:paraId="7054D150">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576" w:lineRule="exact"/>
        <w:ind w:firstLine="640"/>
        <w:jc w:val="left"/>
        <w:textAlignment w:val="auto"/>
        <w:rPr>
          <w:rFonts w:hint="eastAsia" w:ascii="方正仿宋_GBK" w:hAnsi="方正仿宋_GBK" w:eastAsia="方正仿宋_GBK" w:cs="方正仿宋_GBK"/>
          <w:b w:val="0"/>
          <w:bCs w:val="0"/>
          <w:snapToGrid/>
          <w:kern w:val="2"/>
          <w:sz w:val="32"/>
          <w:szCs w:val="32"/>
          <w:lang w:val="en-US" w:eastAsia="zh-CN"/>
        </w:rPr>
      </w:pPr>
      <w:r>
        <w:rPr>
          <w:rFonts w:hint="eastAsia" w:ascii="方正仿宋_GBK" w:hAnsi="方正仿宋_GBK" w:eastAsia="方正仿宋_GBK" w:cs="方正仿宋_GBK"/>
          <w:b w:val="0"/>
          <w:bCs w:val="0"/>
          <w:snapToGrid/>
          <w:kern w:val="2"/>
          <w:sz w:val="32"/>
          <w:szCs w:val="32"/>
          <w:lang w:val="en-US" w:eastAsia="zh-CN"/>
        </w:rPr>
        <w:t>12. 投资规模明显超过企业实际能力的投资项目。</w:t>
      </w:r>
    </w:p>
    <w:p w14:paraId="0A10EA40">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576" w:lineRule="exact"/>
        <w:ind w:firstLine="640"/>
        <w:jc w:val="left"/>
        <w:textAlignment w:val="auto"/>
        <w:rPr>
          <w:rFonts w:hint="eastAsia" w:ascii="方正仿宋_GBK" w:hAnsi="方正仿宋_GBK" w:eastAsia="方正仿宋_GBK" w:cs="方正仿宋_GBK"/>
          <w:b w:val="0"/>
          <w:bCs w:val="0"/>
          <w:snapToGrid/>
          <w:kern w:val="2"/>
          <w:sz w:val="32"/>
          <w:szCs w:val="32"/>
          <w:lang w:val="en-US" w:eastAsia="zh-CN"/>
        </w:rPr>
      </w:pPr>
      <w:r>
        <w:rPr>
          <w:rFonts w:hint="eastAsia" w:ascii="方正仿宋_GBK" w:hAnsi="方正仿宋_GBK" w:eastAsia="方正仿宋_GBK" w:cs="方正仿宋_GBK"/>
          <w:b w:val="0"/>
          <w:bCs w:val="0"/>
          <w:snapToGrid/>
          <w:kern w:val="2"/>
          <w:sz w:val="32"/>
          <w:szCs w:val="32"/>
          <w:lang w:val="en-US" w:eastAsia="zh-CN"/>
        </w:rPr>
        <w:t>13. 未明确资金来源或资金无保障、短贷长投的投资项目。</w:t>
      </w:r>
    </w:p>
    <w:p w14:paraId="2339EB06">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576" w:lineRule="exact"/>
        <w:ind w:firstLine="640"/>
        <w:jc w:val="left"/>
        <w:textAlignment w:val="auto"/>
        <w:rPr>
          <w:rFonts w:hint="eastAsia" w:ascii="方正仿宋_GBK" w:hAnsi="方正仿宋_GBK" w:eastAsia="方正仿宋_GBK" w:cs="方正仿宋_GBK"/>
          <w:b w:val="0"/>
          <w:bCs w:val="0"/>
          <w:snapToGrid/>
          <w:kern w:val="2"/>
          <w:sz w:val="32"/>
          <w:szCs w:val="32"/>
          <w:lang w:val="en-US" w:eastAsia="zh-CN"/>
        </w:rPr>
      </w:pPr>
      <w:r>
        <w:rPr>
          <w:rFonts w:hint="eastAsia" w:ascii="方正仿宋_GBK" w:hAnsi="方正仿宋_GBK" w:eastAsia="方正仿宋_GBK" w:cs="方正仿宋_GBK"/>
          <w:b w:val="0"/>
          <w:bCs w:val="0"/>
          <w:snapToGrid/>
          <w:kern w:val="2"/>
          <w:sz w:val="32"/>
          <w:szCs w:val="32"/>
          <w:lang w:val="en-US" w:eastAsia="zh-CN"/>
        </w:rPr>
        <w:t>14. 与资信不佳或明显缺乏投资能力的企业合作投资。</w:t>
      </w:r>
    </w:p>
    <w:p w14:paraId="424B561B">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576" w:lineRule="exact"/>
        <w:ind w:firstLine="640"/>
        <w:jc w:val="left"/>
        <w:textAlignment w:val="auto"/>
        <w:rPr>
          <w:rFonts w:hint="eastAsia" w:ascii="方正仿宋_GBK" w:hAnsi="方正仿宋_GBK" w:eastAsia="方正仿宋_GBK" w:cs="方正仿宋_GBK"/>
          <w:b w:val="0"/>
          <w:bCs w:val="0"/>
          <w:snapToGrid/>
          <w:kern w:val="2"/>
          <w:sz w:val="32"/>
          <w:szCs w:val="32"/>
          <w:lang w:val="en-US" w:eastAsia="zh-CN"/>
        </w:rPr>
      </w:pPr>
      <w:r>
        <w:rPr>
          <w:rFonts w:hint="eastAsia" w:ascii="方正仿宋_GBK" w:hAnsi="方正仿宋_GBK" w:eastAsia="方正仿宋_GBK" w:cs="方正仿宋_GBK"/>
          <w:b w:val="0"/>
          <w:bCs w:val="0"/>
          <w:snapToGrid/>
          <w:kern w:val="2"/>
          <w:sz w:val="32"/>
          <w:szCs w:val="32"/>
          <w:lang w:val="en-US" w:eastAsia="zh-CN"/>
        </w:rPr>
        <w:t>15. 对产权关系不明晰、有重大债务风险的企业进行并购或投资。</w:t>
      </w:r>
    </w:p>
    <w:p w14:paraId="72CD2227">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576" w:lineRule="exact"/>
        <w:ind w:firstLine="640"/>
        <w:jc w:val="left"/>
        <w:textAlignment w:val="auto"/>
        <w:rPr>
          <w:rFonts w:hint="eastAsia" w:ascii="方正仿宋_GBK" w:hAnsi="方正仿宋_GBK" w:eastAsia="方正仿宋_GBK" w:cs="方正仿宋_GBK"/>
          <w:b w:val="0"/>
          <w:bCs w:val="0"/>
          <w:snapToGrid/>
          <w:kern w:val="2"/>
          <w:sz w:val="32"/>
          <w:szCs w:val="32"/>
          <w:lang w:val="en-US" w:eastAsia="zh-CN"/>
        </w:rPr>
      </w:pPr>
      <w:r>
        <w:rPr>
          <w:rFonts w:hint="eastAsia" w:ascii="方正仿宋_GBK" w:hAnsi="方正仿宋_GBK" w:eastAsia="方正仿宋_GBK" w:cs="方正仿宋_GBK"/>
          <w:b w:val="0"/>
          <w:bCs w:val="0"/>
          <w:snapToGrid/>
          <w:kern w:val="2"/>
          <w:sz w:val="32"/>
          <w:szCs w:val="32"/>
          <w:lang w:val="en-US" w:eastAsia="zh-CN"/>
        </w:rPr>
        <w:t>16. 对资不抵债、扭亏无望的企业增加投资的投资项目。</w:t>
      </w:r>
    </w:p>
    <w:p w14:paraId="25B5BB68">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576" w:lineRule="exact"/>
        <w:ind w:firstLine="640"/>
        <w:jc w:val="left"/>
        <w:textAlignment w:val="auto"/>
        <w:rPr>
          <w:rFonts w:hint="eastAsia" w:ascii="方正仿宋_GBK" w:hAnsi="方正仿宋_GBK" w:eastAsia="方正仿宋_GBK" w:cs="方正仿宋_GBK"/>
          <w:b w:val="0"/>
          <w:bCs w:val="0"/>
          <w:snapToGrid/>
          <w:kern w:val="2"/>
          <w:sz w:val="32"/>
          <w:szCs w:val="32"/>
          <w:lang w:val="en-US" w:eastAsia="zh-CN"/>
        </w:rPr>
      </w:pPr>
      <w:r>
        <w:rPr>
          <w:rFonts w:hint="eastAsia" w:ascii="方正仿宋_GBK" w:hAnsi="方正仿宋_GBK" w:eastAsia="方正仿宋_GBK" w:cs="方正仿宋_GBK"/>
          <w:b w:val="0"/>
          <w:bCs w:val="0"/>
          <w:snapToGrid/>
          <w:kern w:val="2"/>
          <w:sz w:val="32"/>
          <w:szCs w:val="32"/>
          <w:lang w:val="en-US" w:eastAsia="zh-CN"/>
        </w:rPr>
        <w:t>17. 以股权代持、“名为参股合作、实为借贷融资”的明股实债方式开展参股合作项目。</w:t>
      </w:r>
    </w:p>
    <w:p w14:paraId="47425355">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576" w:lineRule="exact"/>
        <w:ind w:firstLine="640"/>
        <w:jc w:val="left"/>
        <w:textAlignment w:val="auto"/>
        <w:rPr>
          <w:rFonts w:hint="eastAsia" w:ascii="方正仿宋_GBK" w:hAnsi="方正仿宋_GBK" w:eastAsia="方正仿宋_GBK" w:cs="方正仿宋_GBK"/>
          <w:b w:val="0"/>
          <w:bCs w:val="0"/>
          <w:snapToGrid/>
          <w:kern w:val="2"/>
          <w:sz w:val="32"/>
          <w:szCs w:val="32"/>
          <w:lang w:val="en-US" w:eastAsia="zh-CN"/>
        </w:rPr>
      </w:pPr>
      <w:r>
        <w:rPr>
          <w:rFonts w:hint="eastAsia" w:ascii="方正仿宋_GBK" w:hAnsi="方正仿宋_GBK" w:eastAsia="方正仿宋_GBK" w:cs="方正仿宋_GBK"/>
          <w:b w:val="0"/>
          <w:bCs w:val="0"/>
          <w:snapToGrid/>
          <w:kern w:val="2"/>
          <w:sz w:val="32"/>
          <w:szCs w:val="32"/>
          <w:lang w:val="en-US" w:eastAsia="zh-CN"/>
        </w:rPr>
        <w:t>18. 投资预期收益低于5年期国债利率的商业性投资项目和投资(承担国家、自治区、拉萨市、尼木县重大科技成果转化项目除外)。</w:t>
      </w:r>
    </w:p>
    <w:p w14:paraId="23111272">
      <w:pPr>
        <w:keepNext w:val="0"/>
        <w:keepLines w:val="0"/>
        <w:pageBreakBefore w:val="0"/>
        <w:widowControl w:val="0"/>
        <w:suppressLineNumbers w:val="0"/>
        <w:kinsoku/>
        <w:wordWrap/>
        <w:overflowPunct/>
        <w:topLinePunct w:val="0"/>
        <w:autoSpaceDE/>
        <w:autoSpaceDN/>
        <w:bidi w:val="0"/>
        <w:adjustRightInd/>
        <w:snapToGrid/>
        <w:spacing w:line="576" w:lineRule="exact"/>
        <w:ind w:firstLine="668" w:firstLineChars="200"/>
        <w:jc w:val="both"/>
        <w:textAlignment w:val="auto"/>
        <w:rPr>
          <w:rFonts w:hint="eastAsia" w:ascii="方正黑体_GBK" w:hAnsi="方正黑体_GBK" w:eastAsia="方正黑体_GBK" w:cs="方正黑体_GBK"/>
          <w:b w:val="0"/>
          <w:i w:val="0"/>
          <w:snapToGrid/>
          <w:spacing w:val="7"/>
          <w:kern w:val="0"/>
          <w:sz w:val="32"/>
          <w:szCs w:val="32"/>
          <w:u w:val="none"/>
          <w:lang w:val="en-US" w:eastAsia="zh-CN" w:bidi="ar"/>
        </w:rPr>
      </w:pPr>
      <w:r>
        <w:rPr>
          <w:rFonts w:hint="eastAsia" w:ascii="方正黑体_GBK" w:hAnsi="方正黑体_GBK" w:eastAsia="方正黑体_GBK" w:cs="方正黑体_GBK"/>
          <w:b w:val="0"/>
          <w:i w:val="0"/>
          <w:snapToGrid/>
          <w:spacing w:val="7"/>
          <w:kern w:val="0"/>
          <w:sz w:val="32"/>
          <w:szCs w:val="32"/>
          <w:u w:val="none"/>
          <w:lang w:val="en-US" w:eastAsia="zh-CN" w:bidi="ar"/>
        </w:rPr>
        <w:t>二、特别监管类投资项目</w:t>
      </w:r>
    </w:p>
    <w:p w14:paraId="41F65E4D">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576" w:lineRule="exact"/>
        <w:ind w:firstLine="640"/>
        <w:jc w:val="left"/>
        <w:textAlignment w:val="auto"/>
        <w:rPr>
          <w:rFonts w:hint="eastAsia" w:ascii="方正仿宋_GBK" w:hAnsi="方正仿宋_GBK" w:eastAsia="方正仿宋_GBK" w:cs="方正仿宋_GBK"/>
          <w:b w:val="0"/>
          <w:bCs w:val="0"/>
          <w:snapToGrid/>
          <w:kern w:val="2"/>
          <w:sz w:val="32"/>
          <w:szCs w:val="32"/>
          <w:lang w:val="en-US" w:eastAsia="zh-CN"/>
        </w:rPr>
      </w:pPr>
      <w:r>
        <w:rPr>
          <w:rFonts w:hint="eastAsia" w:ascii="方正仿宋_GBK" w:hAnsi="方正仿宋_GBK" w:eastAsia="方正仿宋_GBK" w:cs="方正仿宋_GBK"/>
          <w:b w:val="0"/>
          <w:bCs w:val="0"/>
          <w:snapToGrid/>
          <w:kern w:val="2"/>
          <w:sz w:val="32"/>
          <w:szCs w:val="32"/>
          <w:lang w:val="en-US" w:eastAsia="zh-CN"/>
        </w:rPr>
        <w:t>企业应在履行内部决策程序后并在项目实施前需报县政府国资委（国企党工委）审批的投资项目。</w:t>
      </w:r>
    </w:p>
    <w:p w14:paraId="37B022B0">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576" w:lineRule="exact"/>
        <w:ind w:firstLine="640"/>
        <w:jc w:val="left"/>
        <w:textAlignment w:val="auto"/>
        <w:rPr>
          <w:rFonts w:hint="eastAsia" w:ascii="方正仿宋_GBK" w:hAnsi="方正仿宋_GBK" w:eastAsia="方正仿宋_GBK" w:cs="方正仿宋_GBK"/>
          <w:b w:val="0"/>
          <w:bCs w:val="0"/>
          <w:snapToGrid/>
          <w:kern w:val="2"/>
          <w:sz w:val="32"/>
          <w:szCs w:val="32"/>
          <w:lang w:val="en-US" w:eastAsia="zh-CN"/>
        </w:rPr>
      </w:pPr>
      <w:r>
        <w:rPr>
          <w:rFonts w:hint="eastAsia" w:ascii="方正仿宋_GBK" w:hAnsi="方正仿宋_GBK" w:eastAsia="方正仿宋_GBK" w:cs="方正仿宋_GBK"/>
          <w:b w:val="0"/>
          <w:bCs w:val="0"/>
          <w:snapToGrid/>
          <w:kern w:val="2"/>
          <w:sz w:val="32"/>
          <w:szCs w:val="32"/>
          <w:lang w:val="en-US" w:eastAsia="zh-CN"/>
        </w:rPr>
        <w:t>19. 投资额达到企业上年度期末经审计归属母公司所有者权益50%以上(含50%)的投资项目，或上年度期末经审计资产负债率超过70%的投资项目。</w:t>
      </w:r>
    </w:p>
    <w:p w14:paraId="62050352">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576" w:lineRule="exact"/>
        <w:ind w:firstLine="640"/>
        <w:jc w:val="left"/>
        <w:textAlignment w:val="auto"/>
        <w:rPr>
          <w:rFonts w:hint="eastAsia" w:ascii="方正仿宋_GBK" w:hAnsi="方正仿宋_GBK" w:eastAsia="方正仿宋_GBK" w:cs="方正仿宋_GBK"/>
          <w:b w:val="0"/>
          <w:bCs w:val="0"/>
          <w:snapToGrid/>
          <w:kern w:val="2"/>
          <w:sz w:val="32"/>
          <w:szCs w:val="32"/>
          <w:lang w:val="en-US" w:eastAsia="zh-CN"/>
        </w:rPr>
      </w:pPr>
      <w:r>
        <w:rPr>
          <w:rFonts w:hint="eastAsia" w:ascii="方正仿宋_GBK" w:hAnsi="方正仿宋_GBK" w:eastAsia="方正仿宋_GBK" w:cs="方正仿宋_GBK"/>
          <w:b w:val="0"/>
          <w:bCs w:val="0"/>
          <w:snapToGrid/>
          <w:kern w:val="2"/>
          <w:sz w:val="32"/>
          <w:szCs w:val="32"/>
          <w:lang w:val="en-US" w:eastAsia="zh-CN"/>
        </w:rPr>
        <w:t>20. 未纳入年度投资计划的投资项目。</w:t>
      </w:r>
    </w:p>
    <w:p w14:paraId="7C3CF885">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576" w:lineRule="exact"/>
        <w:ind w:firstLine="640"/>
        <w:jc w:val="left"/>
        <w:textAlignment w:val="auto"/>
        <w:rPr>
          <w:rFonts w:ascii="宋体" w:hAnsi="宋体" w:eastAsia="宋体" w:cs="宋体"/>
          <w:b/>
          <w:bCs/>
          <w:spacing w:val="3"/>
          <w:sz w:val="32"/>
          <w:szCs w:val="32"/>
        </w:rPr>
      </w:pPr>
      <w:r>
        <w:rPr>
          <w:rFonts w:hint="eastAsia" w:ascii="方正仿宋_GBK" w:hAnsi="方正仿宋_GBK" w:eastAsia="方正仿宋_GBK" w:cs="方正仿宋_GBK"/>
          <w:b w:val="0"/>
          <w:bCs w:val="0"/>
          <w:snapToGrid/>
          <w:kern w:val="2"/>
          <w:sz w:val="32"/>
          <w:szCs w:val="32"/>
          <w:lang w:val="en-US" w:eastAsia="zh-CN"/>
        </w:rPr>
        <w:t>21. 县属国有企业及其子公司设立全资、控股、参股企业；企业拟与非公经济共同出资设立混合所有制企业的投资。</w:t>
      </w:r>
    </w:p>
    <w:p w14:paraId="47337061">
      <w:pPr>
        <w:rPr>
          <w:rFonts w:ascii="宋体" w:hAnsi="宋体" w:eastAsia="宋体" w:cs="宋体"/>
          <w:b/>
          <w:bCs/>
          <w:spacing w:val="3"/>
          <w:sz w:val="32"/>
          <w:szCs w:val="32"/>
        </w:rPr>
      </w:pPr>
      <w:r>
        <w:rPr>
          <w:rFonts w:ascii="宋体" w:hAnsi="宋体" w:eastAsia="宋体" w:cs="宋体"/>
          <w:b/>
          <w:bCs/>
          <w:spacing w:val="3"/>
          <w:sz w:val="32"/>
          <w:szCs w:val="32"/>
        </w:rPr>
        <w:br w:type="page"/>
      </w:r>
    </w:p>
    <w:p w14:paraId="674AC423">
      <w:pPr>
        <w:spacing w:before="145" w:line="219" w:lineRule="auto"/>
        <w:ind w:left="1819"/>
        <w:rPr>
          <w:rFonts w:ascii="宋体" w:hAnsi="宋体" w:eastAsia="宋体" w:cs="宋体"/>
          <w:sz w:val="32"/>
          <w:szCs w:val="32"/>
        </w:rPr>
      </w:pPr>
      <w:r>
        <w:rPr>
          <w:rFonts w:ascii="宋体" w:hAnsi="宋体" w:eastAsia="宋体" w:cs="宋体"/>
          <w:b/>
          <w:bCs/>
          <w:spacing w:val="3"/>
          <w:sz w:val="32"/>
          <w:szCs w:val="32"/>
        </w:rPr>
        <w:t>县属国有企业投资项目材料受理表(一)</w:t>
      </w:r>
    </w:p>
    <w:p w14:paraId="0063828E">
      <w:pPr>
        <w:spacing w:before="47"/>
      </w:pPr>
    </w:p>
    <w:tbl>
      <w:tblPr>
        <w:tblStyle w:val="6"/>
        <w:tblW w:w="934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942"/>
        <w:gridCol w:w="1898"/>
        <w:gridCol w:w="1418"/>
        <w:gridCol w:w="3082"/>
      </w:tblGrid>
      <w:tr w14:paraId="228452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74" w:hRule="atLeast"/>
        </w:trPr>
        <w:tc>
          <w:tcPr>
            <w:tcW w:w="2942" w:type="dxa"/>
            <w:vAlign w:val="top"/>
          </w:tcPr>
          <w:p w14:paraId="77E62B78">
            <w:pPr>
              <w:spacing w:line="248" w:lineRule="auto"/>
              <w:rPr>
                <w:rFonts w:ascii="Arial"/>
                <w:sz w:val="21"/>
              </w:rPr>
            </w:pPr>
          </w:p>
          <w:p w14:paraId="4A662DE2">
            <w:pPr>
              <w:pStyle w:val="7"/>
              <w:spacing w:before="75" w:line="220" w:lineRule="auto"/>
              <w:ind w:left="955"/>
            </w:pPr>
            <w:r>
              <w:rPr>
                <w:spacing w:val="2"/>
              </w:rPr>
              <w:t>项目名称</w:t>
            </w:r>
          </w:p>
        </w:tc>
        <w:tc>
          <w:tcPr>
            <w:tcW w:w="6398" w:type="dxa"/>
            <w:gridSpan w:val="3"/>
            <w:vAlign w:val="top"/>
          </w:tcPr>
          <w:p w14:paraId="4F7D750F">
            <w:pPr>
              <w:rPr>
                <w:rFonts w:ascii="Arial"/>
                <w:sz w:val="21"/>
              </w:rPr>
            </w:pPr>
          </w:p>
        </w:tc>
      </w:tr>
      <w:tr w14:paraId="2161BF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79" w:hRule="atLeast"/>
        </w:trPr>
        <w:tc>
          <w:tcPr>
            <w:tcW w:w="2942" w:type="dxa"/>
            <w:vAlign w:val="top"/>
          </w:tcPr>
          <w:p w14:paraId="40CB64C7">
            <w:pPr>
              <w:spacing w:line="413" w:lineRule="auto"/>
              <w:rPr>
                <w:rFonts w:ascii="Arial"/>
                <w:sz w:val="21"/>
              </w:rPr>
            </w:pPr>
          </w:p>
          <w:p w14:paraId="10FC8EAA">
            <w:pPr>
              <w:pStyle w:val="7"/>
              <w:spacing w:before="75" w:line="212" w:lineRule="auto"/>
              <w:ind w:left="15" w:right="741"/>
              <w:jc w:val="both"/>
            </w:pPr>
            <w:r>
              <w:rPr>
                <w:spacing w:val="-2"/>
              </w:rPr>
              <w:t>投资主体(县属企业或</w:t>
            </w:r>
            <w:r>
              <w:rPr>
                <w:spacing w:val="7"/>
              </w:rPr>
              <w:t xml:space="preserve"> </w:t>
            </w:r>
            <w:r>
              <w:rPr>
                <w:spacing w:val="-1"/>
              </w:rPr>
              <w:t>子公司)、投资额、持</w:t>
            </w:r>
            <w:r>
              <w:t xml:space="preserve"> </w:t>
            </w:r>
            <w:r>
              <w:rPr>
                <w:spacing w:val="2"/>
              </w:rPr>
              <w:t>股数、持股比例</w:t>
            </w:r>
          </w:p>
        </w:tc>
        <w:tc>
          <w:tcPr>
            <w:tcW w:w="6398" w:type="dxa"/>
            <w:gridSpan w:val="3"/>
            <w:vAlign w:val="top"/>
          </w:tcPr>
          <w:p w14:paraId="598C5F32">
            <w:pPr>
              <w:rPr>
                <w:rFonts w:ascii="Arial"/>
                <w:sz w:val="21"/>
              </w:rPr>
            </w:pPr>
          </w:p>
        </w:tc>
      </w:tr>
      <w:tr w14:paraId="74BC90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9" w:hRule="atLeast"/>
        </w:trPr>
        <w:tc>
          <w:tcPr>
            <w:tcW w:w="2942" w:type="dxa"/>
            <w:vAlign w:val="top"/>
          </w:tcPr>
          <w:p w14:paraId="54DC79FD">
            <w:pPr>
              <w:pStyle w:val="7"/>
              <w:spacing w:before="130" w:line="209" w:lineRule="auto"/>
              <w:ind w:left="15" w:right="357"/>
            </w:pPr>
            <w:r>
              <w:rPr>
                <w:spacing w:val="2"/>
              </w:rPr>
              <w:t>其他股东(股比前三位)名</w:t>
            </w:r>
            <w:r>
              <w:rPr>
                <w:spacing w:val="4"/>
              </w:rPr>
              <w:t xml:space="preserve"> </w:t>
            </w:r>
            <w:r>
              <w:rPr>
                <w:spacing w:val="-1"/>
              </w:rPr>
              <w:t>称、投资额、持</w:t>
            </w:r>
          </w:p>
          <w:p w14:paraId="5364A26D">
            <w:pPr>
              <w:pStyle w:val="7"/>
              <w:spacing w:line="219" w:lineRule="auto"/>
              <w:ind w:left="15"/>
            </w:pPr>
            <w:r>
              <w:rPr>
                <w:spacing w:val="2"/>
              </w:rPr>
              <w:t>股数、持股比例</w:t>
            </w:r>
          </w:p>
        </w:tc>
        <w:tc>
          <w:tcPr>
            <w:tcW w:w="6398" w:type="dxa"/>
            <w:gridSpan w:val="3"/>
            <w:vAlign w:val="top"/>
          </w:tcPr>
          <w:p w14:paraId="74D75E4D">
            <w:pPr>
              <w:rPr>
                <w:rFonts w:ascii="Arial"/>
                <w:sz w:val="21"/>
              </w:rPr>
            </w:pPr>
          </w:p>
        </w:tc>
      </w:tr>
      <w:tr w14:paraId="647C24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9" w:hRule="atLeast"/>
        </w:trPr>
        <w:tc>
          <w:tcPr>
            <w:tcW w:w="2942" w:type="dxa"/>
            <w:vAlign w:val="top"/>
          </w:tcPr>
          <w:p w14:paraId="0E550A5D">
            <w:pPr>
              <w:pStyle w:val="7"/>
              <w:spacing w:before="203" w:line="213" w:lineRule="auto"/>
              <w:ind w:left="15" w:right="605"/>
            </w:pPr>
            <w:r>
              <w:rPr>
                <w:spacing w:val="1"/>
              </w:rPr>
              <w:t>所投资企业主业、注册</w:t>
            </w:r>
            <w:r>
              <w:t xml:space="preserve"> </w:t>
            </w:r>
            <w:r>
              <w:rPr>
                <w:spacing w:val="-2"/>
              </w:rPr>
              <w:t>地、注册资本</w:t>
            </w:r>
          </w:p>
        </w:tc>
        <w:tc>
          <w:tcPr>
            <w:tcW w:w="6398" w:type="dxa"/>
            <w:gridSpan w:val="3"/>
            <w:vAlign w:val="top"/>
          </w:tcPr>
          <w:p w14:paraId="2DE896B2">
            <w:pPr>
              <w:rPr>
                <w:rFonts w:ascii="Arial"/>
                <w:sz w:val="21"/>
              </w:rPr>
            </w:pPr>
          </w:p>
        </w:tc>
      </w:tr>
      <w:tr w14:paraId="733C4F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0" w:hRule="atLeast"/>
        </w:trPr>
        <w:tc>
          <w:tcPr>
            <w:tcW w:w="2942" w:type="dxa"/>
            <w:vMerge w:val="restart"/>
            <w:tcBorders>
              <w:bottom w:val="nil"/>
            </w:tcBorders>
            <w:vAlign w:val="top"/>
          </w:tcPr>
          <w:p w14:paraId="17204688">
            <w:pPr>
              <w:spacing w:line="296" w:lineRule="auto"/>
              <w:rPr>
                <w:rFonts w:ascii="Arial"/>
                <w:sz w:val="21"/>
              </w:rPr>
            </w:pPr>
          </w:p>
          <w:p w14:paraId="3A696F7A">
            <w:pPr>
              <w:spacing w:line="297" w:lineRule="auto"/>
              <w:rPr>
                <w:rFonts w:ascii="Arial"/>
                <w:sz w:val="21"/>
              </w:rPr>
            </w:pPr>
          </w:p>
          <w:p w14:paraId="2FEC6535">
            <w:pPr>
              <w:pStyle w:val="7"/>
              <w:spacing w:before="75" w:line="219" w:lineRule="auto"/>
              <w:ind w:left="25"/>
            </w:pPr>
            <w:r>
              <w:rPr>
                <w:spacing w:val="-1"/>
              </w:rPr>
              <w:t>县属国有企业董事会议情况</w:t>
            </w:r>
          </w:p>
        </w:tc>
        <w:tc>
          <w:tcPr>
            <w:tcW w:w="6398" w:type="dxa"/>
            <w:gridSpan w:val="3"/>
            <w:vAlign w:val="top"/>
          </w:tcPr>
          <w:p w14:paraId="7EC08F30">
            <w:pPr>
              <w:pStyle w:val="7"/>
              <w:spacing w:before="283" w:line="227" w:lineRule="auto"/>
              <w:ind w:left="12"/>
            </w:pPr>
            <w:r>
              <w:rPr>
                <w:spacing w:val="-4"/>
              </w:rPr>
              <w:t>决议时间：</w:t>
            </w:r>
            <w:r>
              <w:rPr>
                <w:spacing w:val="26"/>
              </w:rPr>
              <w:t xml:space="preserve">    </w:t>
            </w:r>
            <w:r>
              <w:rPr>
                <w:spacing w:val="-4"/>
              </w:rPr>
              <w:t>年</w:t>
            </w:r>
            <w:r>
              <w:rPr>
                <w:spacing w:val="18"/>
              </w:rPr>
              <w:t xml:space="preserve">  </w:t>
            </w:r>
            <w:r>
              <w:rPr>
                <w:rFonts w:hint="eastAsia"/>
                <w:spacing w:val="18"/>
                <w:lang w:val="en-US" w:eastAsia="zh-CN"/>
              </w:rPr>
              <w:t xml:space="preserve"> </w:t>
            </w:r>
            <w:r>
              <w:rPr>
                <w:spacing w:val="-4"/>
              </w:rPr>
              <w:t>月</w:t>
            </w:r>
            <w:r>
              <w:rPr>
                <w:spacing w:val="25"/>
              </w:rPr>
              <w:t xml:space="preserve">   </w:t>
            </w:r>
            <w:r>
              <w:rPr>
                <w:spacing w:val="-4"/>
              </w:rPr>
              <w:t>日</w:t>
            </w:r>
          </w:p>
        </w:tc>
      </w:tr>
      <w:tr w14:paraId="6B77A2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9" w:hRule="atLeast"/>
        </w:trPr>
        <w:tc>
          <w:tcPr>
            <w:tcW w:w="2942" w:type="dxa"/>
            <w:vMerge w:val="continue"/>
            <w:tcBorders>
              <w:top w:val="nil"/>
            </w:tcBorders>
            <w:vAlign w:val="top"/>
          </w:tcPr>
          <w:p w14:paraId="27C1B501">
            <w:pPr>
              <w:rPr>
                <w:rFonts w:ascii="Arial"/>
                <w:sz w:val="21"/>
              </w:rPr>
            </w:pPr>
          </w:p>
        </w:tc>
        <w:tc>
          <w:tcPr>
            <w:tcW w:w="6398" w:type="dxa"/>
            <w:gridSpan w:val="3"/>
            <w:vAlign w:val="top"/>
          </w:tcPr>
          <w:p w14:paraId="2FF2703A">
            <w:pPr>
              <w:pStyle w:val="7"/>
              <w:spacing w:before="282" w:line="222" w:lineRule="auto"/>
              <w:ind w:left="12"/>
            </w:pPr>
            <w:r>
              <w:rPr>
                <w:spacing w:val="-2"/>
              </w:rPr>
              <w:t>表决结果：同意票数</w:t>
            </w:r>
            <w:r>
              <w:rPr>
                <w:spacing w:val="11"/>
              </w:rPr>
              <w:t xml:space="preserve">      </w:t>
            </w:r>
            <w:r>
              <w:rPr>
                <w:spacing w:val="-2"/>
              </w:rPr>
              <w:t>,反对票数</w:t>
            </w:r>
          </w:p>
        </w:tc>
      </w:tr>
      <w:tr w14:paraId="302A69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9" w:hRule="atLeast"/>
        </w:trPr>
        <w:tc>
          <w:tcPr>
            <w:tcW w:w="2942" w:type="dxa"/>
            <w:vAlign w:val="top"/>
          </w:tcPr>
          <w:p w14:paraId="481F402E">
            <w:pPr>
              <w:spacing w:line="336" w:lineRule="auto"/>
              <w:rPr>
                <w:rFonts w:ascii="Arial"/>
                <w:sz w:val="21"/>
              </w:rPr>
            </w:pPr>
          </w:p>
          <w:p w14:paraId="0991FF27">
            <w:pPr>
              <w:pStyle w:val="7"/>
              <w:spacing w:before="75" w:line="219" w:lineRule="auto"/>
              <w:ind w:left="15"/>
            </w:pPr>
            <w:r>
              <w:rPr>
                <w:spacing w:val="5"/>
              </w:rPr>
              <w:t>填报单位(盖章：)</w:t>
            </w:r>
          </w:p>
        </w:tc>
        <w:tc>
          <w:tcPr>
            <w:tcW w:w="1898" w:type="dxa"/>
            <w:vAlign w:val="top"/>
          </w:tcPr>
          <w:p w14:paraId="087C6315">
            <w:pPr>
              <w:spacing w:line="337" w:lineRule="auto"/>
              <w:rPr>
                <w:rFonts w:ascii="Arial"/>
                <w:sz w:val="21"/>
              </w:rPr>
            </w:pPr>
          </w:p>
          <w:p w14:paraId="7E156505">
            <w:pPr>
              <w:pStyle w:val="7"/>
              <w:spacing w:before="75" w:line="219" w:lineRule="auto"/>
              <w:ind w:right="24"/>
              <w:jc w:val="right"/>
            </w:pPr>
            <w:r>
              <w:rPr>
                <w:spacing w:val="-9"/>
              </w:rPr>
              <w:t>年</w:t>
            </w:r>
            <w:r>
              <w:rPr>
                <w:spacing w:val="28"/>
              </w:rPr>
              <w:t xml:space="preserve">  </w:t>
            </w:r>
            <w:r>
              <w:rPr>
                <w:spacing w:val="-9"/>
              </w:rPr>
              <w:t>月</w:t>
            </w:r>
            <w:r>
              <w:rPr>
                <w:spacing w:val="44"/>
              </w:rPr>
              <w:t xml:space="preserve">  </w:t>
            </w:r>
            <w:r>
              <w:rPr>
                <w:spacing w:val="-9"/>
              </w:rPr>
              <w:t>日</w:t>
            </w:r>
          </w:p>
        </w:tc>
        <w:tc>
          <w:tcPr>
            <w:tcW w:w="1418" w:type="dxa"/>
            <w:vAlign w:val="top"/>
          </w:tcPr>
          <w:p w14:paraId="29711F4D">
            <w:pPr>
              <w:pStyle w:val="7"/>
              <w:spacing w:before="306" w:line="193" w:lineRule="auto"/>
              <w:ind w:left="4"/>
            </w:pPr>
            <w:r>
              <w:rPr>
                <w:spacing w:val="1"/>
              </w:rPr>
              <w:t>企业联系人</w:t>
            </w:r>
          </w:p>
          <w:p w14:paraId="77B4EB07">
            <w:pPr>
              <w:pStyle w:val="7"/>
              <w:spacing w:line="221" w:lineRule="auto"/>
              <w:ind w:left="4"/>
            </w:pPr>
            <w:r>
              <w:rPr>
                <w:spacing w:val="-2"/>
              </w:rPr>
              <w:t>及联系电话</w:t>
            </w:r>
          </w:p>
        </w:tc>
        <w:tc>
          <w:tcPr>
            <w:tcW w:w="3082" w:type="dxa"/>
            <w:vAlign w:val="top"/>
          </w:tcPr>
          <w:p w14:paraId="492CC013">
            <w:pPr>
              <w:rPr>
                <w:rFonts w:ascii="Arial"/>
                <w:sz w:val="21"/>
              </w:rPr>
            </w:pPr>
          </w:p>
        </w:tc>
      </w:tr>
      <w:tr w14:paraId="0932CA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38" w:hRule="atLeast"/>
        </w:trPr>
        <w:tc>
          <w:tcPr>
            <w:tcW w:w="2942" w:type="dxa"/>
            <w:vAlign w:val="top"/>
          </w:tcPr>
          <w:p w14:paraId="0E374FCE">
            <w:pPr>
              <w:spacing w:line="245" w:lineRule="auto"/>
              <w:rPr>
                <w:rFonts w:ascii="Arial"/>
                <w:sz w:val="21"/>
              </w:rPr>
            </w:pPr>
          </w:p>
          <w:p w14:paraId="6EA258A0">
            <w:pPr>
              <w:spacing w:line="245" w:lineRule="auto"/>
              <w:rPr>
                <w:rFonts w:ascii="Arial"/>
                <w:sz w:val="21"/>
              </w:rPr>
            </w:pPr>
          </w:p>
          <w:p w14:paraId="2AB65F7B">
            <w:pPr>
              <w:spacing w:line="246" w:lineRule="auto"/>
              <w:rPr>
                <w:rFonts w:ascii="Arial"/>
                <w:sz w:val="21"/>
              </w:rPr>
            </w:pPr>
          </w:p>
          <w:p w14:paraId="4E49178D">
            <w:pPr>
              <w:pStyle w:val="7"/>
              <w:spacing w:before="75" w:line="219" w:lineRule="auto"/>
              <w:ind w:left="15"/>
            </w:pPr>
            <w:r>
              <w:rPr>
                <w:spacing w:val="5"/>
              </w:rPr>
              <w:t>意见</w:t>
            </w:r>
          </w:p>
        </w:tc>
        <w:tc>
          <w:tcPr>
            <w:tcW w:w="6398" w:type="dxa"/>
            <w:gridSpan w:val="3"/>
            <w:vAlign w:val="top"/>
          </w:tcPr>
          <w:p w14:paraId="39487AA7">
            <w:pPr>
              <w:rPr>
                <w:rFonts w:ascii="Arial"/>
                <w:sz w:val="21"/>
              </w:rPr>
            </w:pPr>
          </w:p>
        </w:tc>
      </w:tr>
      <w:tr w14:paraId="453EAF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2" w:hRule="atLeast"/>
        </w:trPr>
        <w:tc>
          <w:tcPr>
            <w:tcW w:w="2942" w:type="dxa"/>
            <w:vAlign w:val="top"/>
          </w:tcPr>
          <w:p w14:paraId="2D819C24">
            <w:pPr>
              <w:spacing w:line="273" w:lineRule="auto"/>
              <w:rPr>
                <w:rFonts w:ascii="Arial"/>
                <w:sz w:val="21"/>
              </w:rPr>
            </w:pPr>
          </w:p>
          <w:p w14:paraId="0DC58B9F">
            <w:pPr>
              <w:spacing w:line="273" w:lineRule="auto"/>
              <w:rPr>
                <w:rFonts w:ascii="Arial"/>
                <w:sz w:val="21"/>
              </w:rPr>
            </w:pPr>
          </w:p>
          <w:p w14:paraId="66758B14">
            <w:pPr>
              <w:spacing w:line="273" w:lineRule="auto"/>
              <w:rPr>
                <w:rFonts w:ascii="Arial"/>
                <w:sz w:val="21"/>
              </w:rPr>
            </w:pPr>
          </w:p>
          <w:p w14:paraId="45862755">
            <w:pPr>
              <w:spacing w:line="274" w:lineRule="auto"/>
              <w:rPr>
                <w:rFonts w:ascii="Arial"/>
                <w:sz w:val="21"/>
              </w:rPr>
            </w:pPr>
          </w:p>
          <w:p w14:paraId="372F6395">
            <w:pPr>
              <w:spacing w:line="274" w:lineRule="auto"/>
              <w:rPr>
                <w:rFonts w:ascii="Arial"/>
                <w:sz w:val="21"/>
              </w:rPr>
            </w:pPr>
          </w:p>
          <w:p w14:paraId="7CC8C712">
            <w:pPr>
              <w:spacing w:line="274" w:lineRule="auto"/>
              <w:rPr>
                <w:rFonts w:ascii="Arial"/>
                <w:sz w:val="21"/>
              </w:rPr>
            </w:pPr>
          </w:p>
          <w:p w14:paraId="38FEF8F4">
            <w:pPr>
              <w:pStyle w:val="7"/>
              <w:spacing w:before="74" w:line="219" w:lineRule="auto"/>
              <w:ind w:left="15"/>
            </w:pPr>
            <w:r>
              <w:rPr>
                <w:spacing w:val="1"/>
              </w:rPr>
              <w:t>受理材料清单</w:t>
            </w:r>
          </w:p>
        </w:tc>
        <w:tc>
          <w:tcPr>
            <w:tcW w:w="6398" w:type="dxa"/>
            <w:gridSpan w:val="3"/>
            <w:vAlign w:val="top"/>
          </w:tcPr>
          <w:p w14:paraId="41C3B066">
            <w:pPr>
              <w:pStyle w:val="7"/>
              <w:spacing w:before="16" w:line="219" w:lineRule="auto"/>
              <w:ind w:left="12"/>
            </w:pPr>
            <w:r>
              <w:rPr>
                <w:spacing w:val="13"/>
              </w:rPr>
              <w:t>1、</w:t>
            </w:r>
            <w:r>
              <w:rPr>
                <w:rFonts w:hint="eastAsia"/>
                <w:spacing w:val="13"/>
                <w:lang w:eastAsia="zh-CN"/>
              </w:rPr>
              <w:t>党支部会议纪要</w:t>
            </w:r>
            <w:r>
              <w:rPr>
                <w:spacing w:val="13"/>
              </w:rPr>
              <w:t>；</w:t>
            </w:r>
          </w:p>
          <w:p w14:paraId="0F291E1E">
            <w:pPr>
              <w:pStyle w:val="7"/>
              <w:spacing w:before="7" w:line="193" w:lineRule="auto"/>
              <w:ind w:left="12"/>
            </w:pPr>
            <w:r>
              <w:rPr>
                <w:spacing w:val="8"/>
              </w:rPr>
              <w:t>2、</w:t>
            </w:r>
            <w:r>
              <w:rPr>
                <w:rFonts w:hint="eastAsia"/>
                <w:spacing w:val="8"/>
                <w:lang w:eastAsia="zh-CN"/>
              </w:rPr>
              <w:t>县属国有企业董事会决议</w:t>
            </w:r>
            <w:r>
              <w:rPr>
                <w:spacing w:val="8"/>
              </w:rPr>
              <w:t>；</w:t>
            </w:r>
          </w:p>
          <w:p w14:paraId="04652A3C">
            <w:pPr>
              <w:pStyle w:val="7"/>
              <w:spacing w:line="218" w:lineRule="auto"/>
              <w:ind w:left="12"/>
            </w:pPr>
            <w:r>
              <w:rPr>
                <w:spacing w:val="11"/>
              </w:rPr>
              <w:t>3、</w:t>
            </w:r>
            <w:r>
              <w:rPr>
                <w:rFonts w:hint="eastAsia"/>
                <w:spacing w:val="11"/>
                <w:lang w:eastAsia="zh-CN"/>
              </w:rPr>
              <w:t>董事会会议记录</w:t>
            </w:r>
            <w:r>
              <w:rPr>
                <w:spacing w:val="11"/>
              </w:rPr>
              <w:t>；</w:t>
            </w:r>
          </w:p>
          <w:p w14:paraId="5DDDAFBB">
            <w:pPr>
              <w:pStyle w:val="7"/>
              <w:spacing w:before="8" w:line="199" w:lineRule="auto"/>
              <w:ind w:left="12"/>
            </w:pPr>
            <w:r>
              <w:rPr>
                <w:spacing w:val="23"/>
              </w:rPr>
              <w:t>4、</w:t>
            </w:r>
            <w:r>
              <w:rPr>
                <w:rFonts w:hint="eastAsia"/>
                <w:spacing w:val="23"/>
                <w:lang w:eastAsia="zh-CN"/>
              </w:rPr>
              <w:t>议案</w:t>
            </w:r>
            <w:r>
              <w:rPr>
                <w:spacing w:val="23"/>
              </w:rPr>
              <w:t>；</w:t>
            </w:r>
          </w:p>
          <w:p w14:paraId="081F469B">
            <w:pPr>
              <w:pStyle w:val="7"/>
              <w:spacing w:before="1" w:line="217" w:lineRule="auto"/>
              <w:ind w:left="12"/>
            </w:pPr>
            <w:r>
              <w:rPr>
                <w:spacing w:val="4"/>
              </w:rPr>
              <w:t>5、可行性研究报告或尽职调查报告等同类材料及论证见；</w:t>
            </w:r>
          </w:p>
          <w:p w14:paraId="3D3A6C8E">
            <w:pPr>
              <w:pStyle w:val="7"/>
              <w:spacing w:before="9" w:line="209" w:lineRule="auto"/>
              <w:ind w:left="12"/>
            </w:pPr>
            <w:r>
              <w:rPr>
                <w:spacing w:val="10"/>
              </w:rPr>
              <w:t>6、双重法律审核意见书；</w:t>
            </w:r>
          </w:p>
          <w:p w14:paraId="55216ABF">
            <w:pPr>
              <w:pStyle w:val="7"/>
              <w:spacing w:before="1" w:line="219" w:lineRule="auto"/>
              <w:ind w:left="12"/>
            </w:pPr>
            <w:r>
              <w:rPr>
                <w:spacing w:val="10"/>
              </w:rPr>
              <w:t>7、被投资方财务报表；</w:t>
            </w:r>
          </w:p>
          <w:p w14:paraId="43BEF269">
            <w:pPr>
              <w:pStyle w:val="7"/>
              <w:spacing w:before="5" w:line="201" w:lineRule="auto"/>
              <w:ind w:left="12"/>
            </w:pPr>
            <w:r>
              <w:rPr>
                <w:spacing w:val="6"/>
              </w:rPr>
              <w:t>8、有关投资合作方的情况介绍和证明文件；</w:t>
            </w:r>
          </w:p>
          <w:p w14:paraId="08FB61BF">
            <w:pPr>
              <w:pStyle w:val="7"/>
              <w:spacing w:before="1" w:line="218" w:lineRule="auto"/>
              <w:ind w:left="12"/>
            </w:pPr>
            <w:r>
              <w:rPr>
                <w:spacing w:val="6"/>
              </w:rPr>
              <w:t>9、拟签订的投资协议的主要条款；</w:t>
            </w:r>
          </w:p>
          <w:p w14:paraId="3A8E50E1">
            <w:pPr>
              <w:pStyle w:val="7"/>
              <w:spacing w:before="7" w:line="209" w:lineRule="auto"/>
              <w:ind w:left="12"/>
            </w:pPr>
            <w:r>
              <w:rPr>
                <w:spacing w:val="7"/>
              </w:rPr>
              <w:t>10、审计、评估报告及备案表；</w:t>
            </w:r>
          </w:p>
          <w:p w14:paraId="5A9CB7AC">
            <w:pPr>
              <w:pStyle w:val="7"/>
              <w:spacing w:line="215" w:lineRule="auto"/>
              <w:ind w:left="12" w:right="49"/>
            </w:pPr>
            <w:r>
              <w:rPr>
                <w:spacing w:val="4"/>
              </w:rPr>
              <w:t>11、有资质第三方咨询机构出具的风险分析及防范化解预案；</w:t>
            </w:r>
            <w:r>
              <w:rPr>
                <w:spacing w:val="2"/>
              </w:rPr>
              <w:t xml:space="preserve"> </w:t>
            </w:r>
            <w:r>
              <w:t>12</w:t>
            </w:r>
            <w:r>
              <w:rPr>
                <w:rFonts w:hint="eastAsia"/>
                <w:lang w:eastAsia="zh-CN"/>
              </w:rPr>
              <w:t>、</w:t>
            </w:r>
            <w:r>
              <w:t>其他。</w:t>
            </w:r>
          </w:p>
        </w:tc>
      </w:tr>
    </w:tbl>
    <w:p w14:paraId="2BD6DAB7">
      <w:pPr>
        <w:spacing w:before="34" w:line="226" w:lineRule="auto"/>
        <w:ind w:left="25"/>
        <w:rPr>
          <w:rFonts w:ascii="宋体" w:hAnsi="宋体" w:eastAsia="宋体" w:cs="宋体"/>
          <w:sz w:val="21"/>
          <w:szCs w:val="21"/>
        </w:rPr>
      </w:pPr>
      <w:r>
        <w:rPr>
          <w:rFonts w:ascii="宋体" w:hAnsi="宋体" w:eastAsia="宋体" w:cs="宋体"/>
          <w:spacing w:val="-1"/>
          <w:sz w:val="21"/>
          <w:szCs w:val="21"/>
        </w:rPr>
        <w:t>注：表一填报长期股权投资项目及非金融企业参与设立或者发起设立各类基金的投资、委</w:t>
      </w:r>
      <w:r>
        <w:rPr>
          <w:rFonts w:ascii="宋体" w:hAnsi="宋体" w:eastAsia="宋体" w:cs="宋体"/>
          <w:spacing w:val="8"/>
          <w:sz w:val="21"/>
          <w:szCs w:val="21"/>
        </w:rPr>
        <w:t xml:space="preserve"> </w:t>
      </w:r>
      <w:r>
        <w:rPr>
          <w:rFonts w:ascii="宋体" w:hAnsi="宋体" w:eastAsia="宋体" w:cs="宋体"/>
          <w:spacing w:val="1"/>
          <w:sz w:val="21"/>
          <w:szCs w:val="21"/>
        </w:rPr>
        <w:t>托贷款等债权投资项目</w:t>
      </w:r>
    </w:p>
    <w:p w14:paraId="76DE1F07">
      <w:pPr>
        <w:spacing w:line="226" w:lineRule="auto"/>
        <w:rPr>
          <w:rFonts w:ascii="宋体" w:hAnsi="宋体" w:eastAsia="宋体" w:cs="宋体"/>
          <w:sz w:val="21"/>
          <w:szCs w:val="21"/>
        </w:rPr>
        <w:sectPr>
          <w:footerReference r:id="rId5" w:type="default"/>
          <w:pgSz w:w="11910" w:h="16840"/>
          <w:pgMar w:top="1440" w:right="1707" w:bottom="1440" w:left="1803" w:header="0" w:footer="0" w:gutter="0"/>
          <w:cols w:space="720" w:num="1"/>
        </w:sectPr>
      </w:pPr>
    </w:p>
    <w:p w14:paraId="6FDC1253">
      <w:pPr>
        <w:spacing w:before="55" w:line="219" w:lineRule="auto"/>
        <w:jc w:val="center"/>
        <w:rPr>
          <w:rFonts w:ascii="宋体" w:hAnsi="宋体" w:eastAsia="宋体" w:cs="宋体"/>
          <w:sz w:val="28"/>
          <w:szCs w:val="28"/>
        </w:rPr>
      </w:pPr>
      <w:r>
        <w:rPr>
          <w:rFonts w:ascii="宋体" w:hAnsi="宋体" w:eastAsia="宋体" w:cs="宋体"/>
          <w:b/>
          <w:bCs/>
          <w:sz w:val="28"/>
          <w:szCs w:val="28"/>
        </w:rPr>
        <w:t>县属国有企业投资项目材料受理表(二)</w:t>
      </w:r>
    </w:p>
    <w:p w14:paraId="031E9C08">
      <w:pPr>
        <w:spacing w:line="127" w:lineRule="exact"/>
      </w:pPr>
    </w:p>
    <w:tbl>
      <w:tblPr>
        <w:tblStyle w:val="6"/>
        <w:tblW w:w="985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822"/>
        <w:gridCol w:w="2687"/>
        <w:gridCol w:w="2378"/>
        <w:gridCol w:w="1963"/>
      </w:tblGrid>
      <w:tr w14:paraId="057731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5" w:hRule="atLeast"/>
        </w:trPr>
        <w:tc>
          <w:tcPr>
            <w:tcW w:w="2822" w:type="dxa"/>
            <w:vAlign w:val="top"/>
          </w:tcPr>
          <w:p w14:paraId="610DB7F2">
            <w:pPr>
              <w:pStyle w:val="7"/>
              <w:spacing w:before="285" w:line="220" w:lineRule="auto"/>
              <w:ind w:left="875"/>
              <w:rPr>
                <w:sz w:val="24"/>
                <w:szCs w:val="24"/>
              </w:rPr>
            </w:pPr>
            <w:r>
              <w:rPr>
                <w:spacing w:val="3"/>
                <w:sz w:val="24"/>
                <w:szCs w:val="24"/>
              </w:rPr>
              <w:t>项目名称</w:t>
            </w:r>
          </w:p>
        </w:tc>
        <w:tc>
          <w:tcPr>
            <w:tcW w:w="7028" w:type="dxa"/>
            <w:gridSpan w:val="3"/>
            <w:vAlign w:val="top"/>
          </w:tcPr>
          <w:p w14:paraId="16F0B210">
            <w:pPr>
              <w:rPr>
                <w:rFonts w:ascii="Arial"/>
                <w:sz w:val="21"/>
              </w:rPr>
            </w:pPr>
          </w:p>
        </w:tc>
      </w:tr>
      <w:tr w14:paraId="72551D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59" w:hRule="atLeast"/>
        </w:trPr>
        <w:tc>
          <w:tcPr>
            <w:tcW w:w="2822" w:type="dxa"/>
            <w:vAlign w:val="top"/>
          </w:tcPr>
          <w:p w14:paraId="29E28D0D">
            <w:pPr>
              <w:pStyle w:val="7"/>
              <w:spacing w:before="171" w:line="206" w:lineRule="auto"/>
              <w:ind w:left="5" w:right="515"/>
              <w:jc w:val="both"/>
              <w:rPr>
                <w:sz w:val="24"/>
                <w:szCs w:val="24"/>
              </w:rPr>
            </w:pPr>
            <w:r>
              <w:rPr>
                <w:spacing w:val="1"/>
                <w:sz w:val="24"/>
                <w:szCs w:val="24"/>
              </w:rPr>
              <w:t>投资主体(县属企业或</w:t>
            </w:r>
            <w:r>
              <w:rPr>
                <w:sz w:val="24"/>
                <w:szCs w:val="24"/>
              </w:rPr>
              <w:t xml:space="preserve"> </w:t>
            </w:r>
            <w:r>
              <w:rPr>
                <w:spacing w:val="-1"/>
                <w:sz w:val="24"/>
                <w:szCs w:val="24"/>
              </w:rPr>
              <w:t>子公司)、投资额、持</w:t>
            </w:r>
            <w:r>
              <w:rPr>
                <w:spacing w:val="8"/>
                <w:sz w:val="24"/>
                <w:szCs w:val="24"/>
              </w:rPr>
              <w:t xml:space="preserve"> </w:t>
            </w:r>
            <w:r>
              <w:rPr>
                <w:spacing w:val="2"/>
                <w:sz w:val="24"/>
                <w:szCs w:val="24"/>
              </w:rPr>
              <w:t>股数、持股比例</w:t>
            </w:r>
          </w:p>
        </w:tc>
        <w:tc>
          <w:tcPr>
            <w:tcW w:w="2687" w:type="dxa"/>
            <w:vAlign w:val="top"/>
          </w:tcPr>
          <w:p w14:paraId="2070144E">
            <w:pPr>
              <w:rPr>
                <w:rFonts w:ascii="Arial"/>
                <w:sz w:val="21"/>
              </w:rPr>
            </w:pPr>
          </w:p>
        </w:tc>
        <w:tc>
          <w:tcPr>
            <w:tcW w:w="2378" w:type="dxa"/>
            <w:vAlign w:val="top"/>
          </w:tcPr>
          <w:p w14:paraId="48E158FD">
            <w:pPr>
              <w:spacing w:line="330" w:lineRule="auto"/>
              <w:rPr>
                <w:rFonts w:ascii="Arial"/>
                <w:sz w:val="21"/>
              </w:rPr>
            </w:pPr>
          </w:p>
          <w:p w14:paraId="52BD2AA6">
            <w:pPr>
              <w:pStyle w:val="7"/>
              <w:spacing w:before="78" w:line="220" w:lineRule="auto"/>
              <w:ind w:left="425"/>
              <w:rPr>
                <w:sz w:val="24"/>
                <w:szCs w:val="24"/>
              </w:rPr>
            </w:pPr>
            <w:r>
              <w:rPr>
                <w:spacing w:val="1"/>
                <w:sz w:val="24"/>
                <w:szCs w:val="24"/>
              </w:rPr>
              <w:t>项目所属行业</w:t>
            </w:r>
          </w:p>
        </w:tc>
        <w:tc>
          <w:tcPr>
            <w:tcW w:w="1963" w:type="dxa"/>
            <w:vAlign w:val="top"/>
          </w:tcPr>
          <w:p w14:paraId="7BA75A37">
            <w:pPr>
              <w:rPr>
                <w:rFonts w:ascii="Arial"/>
                <w:sz w:val="21"/>
              </w:rPr>
            </w:pPr>
          </w:p>
        </w:tc>
      </w:tr>
      <w:tr w14:paraId="7836AF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59" w:hRule="atLeast"/>
        </w:trPr>
        <w:tc>
          <w:tcPr>
            <w:tcW w:w="2822" w:type="dxa"/>
            <w:vAlign w:val="top"/>
          </w:tcPr>
          <w:p w14:paraId="6429A192">
            <w:pPr>
              <w:pStyle w:val="7"/>
              <w:spacing w:before="170" w:line="204" w:lineRule="auto"/>
              <w:ind w:left="15" w:right="354" w:hanging="10"/>
              <w:rPr>
                <w:sz w:val="24"/>
                <w:szCs w:val="24"/>
              </w:rPr>
            </w:pPr>
            <w:r>
              <w:rPr>
                <w:spacing w:val="4"/>
                <w:sz w:val="24"/>
                <w:szCs w:val="24"/>
              </w:rPr>
              <w:t>其他股东(股比前三位)</w:t>
            </w:r>
            <w:r>
              <w:rPr>
                <w:spacing w:val="7"/>
                <w:sz w:val="24"/>
                <w:szCs w:val="24"/>
              </w:rPr>
              <w:t xml:space="preserve"> </w:t>
            </w:r>
            <w:r>
              <w:rPr>
                <w:spacing w:val="1"/>
                <w:sz w:val="24"/>
                <w:szCs w:val="24"/>
              </w:rPr>
              <w:t>名称、投资额、持</w:t>
            </w:r>
          </w:p>
          <w:p w14:paraId="53D6B8CF">
            <w:pPr>
              <w:pStyle w:val="7"/>
              <w:spacing w:line="219" w:lineRule="auto"/>
              <w:ind w:left="5"/>
              <w:rPr>
                <w:sz w:val="24"/>
                <w:szCs w:val="24"/>
              </w:rPr>
            </w:pPr>
            <w:r>
              <w:rPr>
                <w:spacing w:val="2"/>
                <w:sz w:val="24"/>
                <w:szCs w:val="24"/>
              </w:rPr>
              <w:t>股数、持股比例</w:t>
            </w:r>
          </w:p>
        </w:tc>
        <w:tc>
          <w:tcPr>
            <w:tcW w:w="2687" w:type="dxa"/>
            <w:vAlign w:val="top"/>
          </w:tcPr>
          <w:p w14:paraId="63ACAFB0">
            <w:pPr>
              <w:rPr>
                <w:rFonts w:ascii="Arial"/>
                <w:sz w:val="21"/>
              </w:rPr>
            </w:pPr>
          </w:p>
        </w:tc>
        <w:tc>
          <w:tcPr>
            <w:tcW w:w="2378" w:type="dxa"/>
            <w:vAlign w:val="top"/>
          </w:tcPr>
          <w:p w14:paraId="3ABBEDD8">
            <w:pPr>
              <w:spacing w:line="331" w:lineRule="auto"/>
              <w:rPr>
                <w:rFonts w:ascii="Arial"/>
                <w:sz w:val="21"/>
              </w:rPr>
            </w:pPr>
          </w:p>
          <w:p w14:paraId="7C099ADB">
            <w:pPr>
              <w:pStyle w:val="7"/>
              <w:spacing w:before="78" w:line="220" w:lineRule="auto"/>
              <w:ind w:left="546"/>
              <w:rPr>
                <w:sz w:val="24"/>
                <w:szCs w:val="24"/>
              </w:rPr>
            </w:pPr>
            <w:r>
              <w:rPr>
                <w:spacing w:val="3"/>
                <w:sz w:val="24"/>
                <w:szCs w:val="24"/>
              </w:rPr>
              <w:t>项目建设期</w:t>
            </w:r>
          </w:p>
        </w:tc>
        <w:tc>
          <w:tcPr>
            <w:tcW w:w="1963" w:type="dxa"/>
            <w:vAlign w:val="top"/>
          </w:tcPr>
          <w:p w14:paraId="06946172">
            <w:pPr>
              <w:rPr>
                <w:rFonts w:ascii="Arial"/>
                <w:sz w:val="21"/>
              </w:rPr>
            </w:pPr>
          </w:p>
        </w:tc>
      </w:tr>
      <w:tr w14:paraId="2700F2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69" w:hRule="atLeast"/>
        </w:trPr>
        <w:tc>
          <w:tcPr>
            <w:tcW w:w="2822" w:type="dxa"/>
            <w:vAlign w:val="top"/>
          </w:tcPr>
          <w:p w14:paraId="1CA9A511">
            <w:pPr>
              <w:spacing w:line="341" w:lineRule="auto"/>
              <w:rPr>
                <w:rFonts w:ascii="Arial"/>
                <w:sz w:val="21"/>
              </w:rPr>
            </w:pPr>
          </w:p>
          <w:p w14:paraId="1D82817D">
            <w:pPr>
              <w:pStyle w:val="7"/>
              <w:spacing w:before="78" w:line="219" w:lineRule="auto"/>
              <w:ind w:left="5"/>
              <w:rPr>
                <w:sz w:val="24"/>
                <w:szCs w:val="24"/>
              </w:rPr>
            </w:pPr>
            <w:r>
              <w:rPr>
                <w:spacing w:val="1"/>
                <w:sz w:val="24"/>
                <w:szCs w:val="24"/>
              </w:rPr>
              <w:t>投资额及进度安排</w:t>
            </w:r>
          </w:p>
        </w:tc>
        <w:tc>
          <w:tcPr>
            <w:tcW w:w="7028" w:type="dxa"/>
            <w:gridSpan w:val="3"/>
            <w:vAlign w:val="top"/>
          </w:tcPr>
          <w:p w14:paraId="79C8730A">
            <w:pPr>
              <w:rPr>
                <w:rFonts w:ascii="Arial"/>
                <w:sz w:val="21"/>
              </w:rPr>
            </w:pPr>
          </w:p>
        </w:tc>
      </w:tr>
      <w:tr w14:paraId="113A0F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69" w:hRule="atLeast"/>
        </w:trPr>
        <w:tc>
          <w:tcPr>
            <w:tcW w:w="2822" w:type="dxa"/>
            <w:vMerge w:val="restart"/>
            <w:tcBorders>
              <w:bottom w:val="nil"/>
            </w:tcBorders>
            <w:vAlign w:val="top"/>
          </w:tcPr>
          <w:p w14:paraId="0D1DB169">
            <w:pPr>
              <w:spacing w:line="252" w:lineRule="auto"/>
              <w:rPr>
                <w:rFonts w:ascii="Arial"/>
                <w:sz w:val="21"/>
              </w:rPr>
            </w:pPr>
          </w:p>
          <w:p w14:paraId="5A93F9A7">
            <w:pPr>
              <w:spacing w:line="253" w:lineRule="auto"/>
              <w:rPr>
                <w:rFonts w:ascii="Arial"/>
                <w:sz w:val="21"/>
              </w:rPr>
            </w:pPr>
          </w:p>
          <w:p w14:paraId="4C5EC79A">
            <w:pPr>
              <w:spacing w:line="253" w:lineRule="auto"/>
              <w:rPr>
                <w:rFonts w:ascii="Arial"/>
                <w:sz w:val="21"/>
              </w:rPr>
            </w:pPr>
          </w:p>
          <w:p w14:paraId="583B220B">
            <w:pPr>
              <w:pStyle w:val="7"/>
              <w:spacing w:before="78" w:line="211" w:lineRule="auto"/>
              <w:ind w:left="1245" w:right="55" w:hanging="1140"/>
              <w:rPr>
                <w:sz w:val="24"/>
                <w:szCs w:val="24"/>
              </w:rPr>
            </w:pPr>
            <w:r>
              <w:rPr>
                <w:spacing w:val="1"/>
                <w:sz w:val="24"/>
                <w:szCs w:val="24"/>
              </w:rPr>
              <w:t>县属国有企业董事会议情</w:t>
            </w:r>
            <w:r>
              <w:rPr>
                <w:sz w:val="24"/>
                <w:szCs w:val="24"/>
              </w:rPr>
              <w:t xml:space="preserve"> 况</w:t>
            </w:r>
          </w:p>
        </w:tc>
        <w:tc>
          <w:tcPr>
            <w:tcW w:w="7028" w:type="dxa"/>
            <w:gridSpan w:val="3"/>
            <w:vAlign w:val="top"/>
          </w:tcPr>
          <w:p w14:paraId="1065BDE8">
            <w:pPr>
              <w:spacing w:line="342" w:lineRule="auto"/>
              <w:rPr>
                <w:rFonts w:ascii="Arial"/>
                <w:sz w:val="21"/>
              </w:rPr>
            </w:pPr>
          </w:p>
          <w:p w14:paraId="32E160D8">
            <w:pPr>
              <w:pStyle w:val="7"/>
              <w:spacing w:before="78" w:line="230" w:lineRule="auto"/>
              <w:ind w:left="1633"/>
              <w:rPr>
                <w:sz w:val="24"/>
                <w:szCs w:val="24"/>
              </w:rPr>
            </w:pPr>
            <w:r>
              <w:rPr>
                <w:spacing w:val="-2"/>
                <w:sz w:val="24"/>
                <w:szCs w:val="24"/>
              </w:rPr>
              <w:t xml:space="preserve">决议时间：     </w:t>
            </w:r>
            <w:r>
              <w:rPr>
                <w:spacing w:val="-2"/>
                <w:position w:val="1"/>
                <w:sz w:val="24"/>
                <w:szCs w:val="24"/>
              </w:rPr>
              <w:t>年</w:t>
            </w:r>
            <w:r>
              <w:rPr>
                <w:spacing w:val="5"/>
                <w:position w:val="1"/>
                <w:sz w:val="24"/>
                <w:szCs w:val="24"/>
              </w:rPr>
              <w:t xml:space="preserve">      </w:t>
            </w:r>
            <w:r>
              <w:rPr>
                <w:spacing w:val="-2"/>
                <w:sz w:val="24"/>
                <w:szCs w:val="24"/>
              </w:rPr>
              <w:t>月</w:t>
            </w:r>
            <w:r>
              <w:rPr>
                <w:spacing w:val="3"/>
                <w:sz w:val="24"/>
                <w:szCs w:val="24"/>
              </w:rPr>
              <w:t xml:space="preserve">    </w:t>
            </w:r>
            <w:r>
              <w:rPr>
                <w:spacing w:val="-2"/>
                <w:position w:val="-4"/>
                <w:sz w:val="24"/>
                <w:szCs w:val="24"/>
              </w:rPr>
              <w:t>日</w:t>
            </w:r>
          </w:p>
        </w:tc>
      </w:tr>
      <w:tr w14:paraId="0D5E65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79" w:hRule="atLeast"/>
        </w:trPr>
        <w:tc>
          <w:tcPr>
            <w:tcW w:w="2822" w:type="dxa"/>
            <w:vMerge w:val="continue"/>
            <w:tcBorders>
              <w:top w:val="nil"/>
            </w:tcBorders>
            <w:vAlign w:val="top"/>
          </w:tcPr>
          <w:p w14:paraId="13C13741">
            <w:pPr>
              <w:rPr>
                <w:rFonts w:ascii="Arial"/>
                <w:sz w:val="21"/>
              </w:rPr>
            </w:pPr>
          </w:p>
        </w:tc>
        <w:tc>
          <w:tcPr>
            <w:tcW w:w="7028" w:type="dxa"/>
            <w:gridSpan w:val="3"/>
            <w:vAlign w:val="top"/>
          </w:tcPr>
          <w:p w14:paraId="55C3F7A9">
            <w:pPr>
              <w:spacing w:line="349" w:lineRule="auto"/>
              <w:rPr>
                <w:rFonts w:ascii="Arial"/>
                <w:sz w:val="21"/>
              </w:rPr>
            </w:pPr>
          </w:p>
          <w:p w14:paraId="19A1942D">
            <w:pPr>
              <w:pStyle w:val="7"/>
              <w:spacing w:before="78" w:line="170" w:lineRule="auto"/>
              <w:ind w:left="1033"/>
              <w:rPr>
                <w:sz w:val="24"/>
                <w:szCs w:val="24"/>
              </w:rPr>
            </w:pPr>
            <w:r>
              <w:rPr>
                <w:spacing w:val="1"/>
                <w:sz w:val="24"/>
                <w:szCs w:val="24"/>
              </w:rPr>
              <w:t>表决结果：同意票数      ,反对票数</w:t>
            </w:r>
          </w:p>
          <w:p w14:paraId="43B55388">
            <w:pPr>
              <w:pStyle w:val="7"/>
              <w:spacing w:line="214" w:lineRule="auto"/>
              <w:ind w:left="5782"/>
              <w:rPr>
                <w:sz w:val="24"/>
                <w:szCs w:val="24"/>
              </w:rPr>
            </w:pPr>
            <w:r>
              <w:rPr>
                <w:sz w:val="24"/>
                <w:szCs w:val="24"/>
              </w:rPr>
              <w:t>o</w:t>
            </w:r>
          </w:p>
        </w:tc>
      </w:tr>
      <w:tr w14:paraId="128226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59" w:hRule="atLeast"/>
        </w:trPr>
        <w:tc>
          <w:tcPr>
            <w:tcW w:w="2822" w:type="dxa"/>
            <w:vAlign w:val="top"/>
          </w:tcPr>
          <w:p w14:paraId="4A9B02AE">
            <w:pPr>
              <w:spacing w:line="333" w:lineRule="auto"/>
              <w:rPr>
                <w:rFonts w:ascii="Arial"/>
                <w:sz w:val="21"/>
              </w:rPr>
            </w:pPr>
          </w:p>
          <w:p w14:paraId="61806F3C">
            <w:pPr>
              <w:pStyle w:val="7"/>
              <w:spacing w:before="78" w:line="219" w:lineRule="auto"/>
              <w:ind w:left="5"/>
              <w:rPr>
                <w:sz w:val="24"/>
                <w:szCs w:val="24"/>
              </w:rPr>
            </w:pPr>
            <w:r>
              <w:rPr>
                <w:spacing w:val="5"/>
                <w:sz w:val="24"/>
                <w:szCs w:val="24"/>
              </w:rPr>
              <w:t>填报单位(盖章：)</w:t>
            </w:r>
          </w:p>
        </w:tc>
        <w:tc>
          <w:tcPr>
            <w:tcW w:w="2687" w:type="dxa"/>
            <w:vAlign w:val="top"/>
          </w:tcPr>
          <w:p w14:paraId="6DB2FE1A">
            <w:pPr>
              <w:spacing w:line="334" w:lineRule="auto"/>
              <w:rPr>
                <w:rFonts w:ascii="Arial"/>
                <w:sz w:val="21"/>
              </w:rPr>
            </w:pPr>
          </w:p>
          <w:p w14:paraId="4E1D031F">
            <w:pPr>
              <w:pStyle w:val="7"/>
              <w:spacing w:before="78" w:line="219" w:lineRule="auto"/>
              <w:ind w:left="642"/>
              <w:rPr>
                <w:sz w:val="24"/>
                <w:szCs w:val="24"/>
              </w:rPr>
            </w:pPr>
            <w:r>
              <w:rPr>
                <w:spacing w:val="-9"/>
                <w:sz w:val="24"/>
                <w:szCs w:val="24"/>
              </w:rPr>
              <w:t>年</w:t>
            </w:r>
            <w:r>
              <w:rPr>
                <w:spacing w:val="21"/>
                <w:sz w:val="24"/>
                <w:szCs w:val="24"/>
              </w:rPr>
              <w:t xml:space="preserve">  </w:t>
            </w:r>
            <w:r>
              <w:rPr>
                <w:spacing w:val="-9"/>
                <w:sz w:val="24"/>
                <w:szCs w:val="24"/>
              </w:rPr>
              <w:t>月</w:t>
            </w:r>
            <w:r>
              <w:rPr>
                <w:spacing w:val="38"/>
                <w:sz w:val="24"/>
                <w:szCs w:val="24"/>
              </w:rPr>
              <w:t xml:space="preserve">  </w:t>
            </w:r>
            <w:r>
              <w:rPr>
                <w:spacing w:val="-9"/>
                <w:sz w:val="24"/>
                <w:szCs w:val="24"/>
              </w:rPr>
              <w:t>日</w:t>
            </w:r>
          </w:p>
        </w:tc>
        <w:tc>
          <w:tcPr>
            <w:tcW w:w="2378" w:type="dxa"/>
            <w:vAlign w:val="top"/>
          </w:tcPr>
          <w:p w14:paraId="0A2265A9">
            <w:pPr>
              <w:pStyle w:val="7"/>
              <w:spacing w:before="276" w:line="219" w:lineRule="auto"/>
              <w:ind w:left="36" w:right="1121"/>
              <w:rPr>
                <w:sz w:val="24"/>
                <w:szCs w:val="24"/>
              </w:rPr>
            </w:pPr>
            <w:r>
              <w:rPr>
                <w:spacing w:val="2"/>
                <w:sz w:val="24"/>
                <w:szCs w:val="24"/>
              </w:rPr>
              <w:t>企业联系人</w:t>
            </w:r>
            <w:r>
              <w:rPr>
                <w:spacing w:val="-2"/>
                <w:sz w:val="24"/>
                <w:szCs w:val="24"/>
              </w:rPr>
              <w:t>及联系电话</w:t>
            </w:r>
          </w:p>
        </w:tc>
        <w:tc>
          <w:tcPr>
            <w:tcW w:w="1963" w:type="dxa"/>
            <w:vAlign w:val="top"/>
          </w:tcPr>
          <w:p w14:paraId="0B3D91E7">
            <w:pPr>
              <w:rPr>
                <w:rFonts w:ascii="Arial"/>
                <w:sz w:val="21"/>
              </w:rPr>
            </w:pPr>
          </w:p>
        </w:tc>
      </w:tr>
      <w:tr w14:paraId="4D5E50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89" w:hRule="atLeast"/>
        </w:trPr>
        <w:tc>
          <w:tcPr>
            <w:tcW w:w="2822" w:type="dxa"/>
            <w:vAlign w:val="top"/>
          </w:tcPr>
          <w:p w14:paraId="6FB39DDA">
            <w:pPr>
              <w:spacing w:line="252" w:lineRule="auto"/>
              <w:rPr>
                <w:rFonts w:ascii="Arial"/>
                <w:sz w:val="21"/>
              </w:rPr>
            </w:pPr>
          </w:p>
          <w:p w14:paraId="57CA98DF">
            <w:pPr>
              <w:spacing w:line="253" w:lineRule="auto"/>
              <w:rPr>
                <w:rFonts w:ascii="Arial"/>
                <w:sz w:val="21"/>
              </w:rPr>
            </w:pPr>
          </w:p>
          <w:p w14:paraId="25545F90">
            <w:pPr>
              <w:pStyle w:val="7"/>
              <w:spacing w:before="78" w:line="219" w:lineRule="auto"/>
              <w:ind w:left="5"/>
              <w:rPr>
                <w:sz w:val="24"/>
                <w:szCs w:val="24"/>
              </w:rPr>
            </w:pPr>
            <w:r>
              <w:rPr>
                <w:spacing w:val="6"/>
                <w:sz w:val="24"/>
                <w:szCs w:val="24"/>
              </w:rPr>
              <w:t>意见</w:t>
            </w:r>
          </w:p>
        </w:tc>
        <w:tc>
          <w:tcPr>
            <w:tcW w:w="7028" w:type="dxa"/>
            <w:gridSpan w:val="3"/>
            <w:vAlign w:val="top"/>
          </w:tcPr>
          <w:p w14:paraId="70F39BF2">
            <w:pPr>
              <w:rPr>
                <w:rFonts w:ascii="Arial"/>
                <w:sz w:val="21"/>
              </w:rPr>
            </w:pPr>
          </w:p>
        </w:tc>
      </w:tr>
      <w:tr w14:paraId="0506D8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12" w:hRule="atLeast"/>
        </w:trPr>
        <w:tc>
          <w:tcPr>
            <w:tcW w:w="2822" w:type="dxa"/>
            <w:vAlign w:val="top"/>
          </w:tcPr>
          <w:p w14:paraId="4CE285C2">
            <w:pPr>
              <w:spacing w:line="258" w:lineRule="auto"/>
              <w:rPr>
                <w:rFonts w:ascii="Arial"/>
                <w:sz w:val="21"/>
              </w:rPr>
            </w:pPr>
          </w:p>
          <w:p w14:paraId="794BFDB2">
            <w:pPr>
              <w:spacing w:line="258" w:lineRule="auto"/>
              <w:rPr>
                <w:rFonts w:ascii="Arial"/>
                <w:sz w:val="21"/>
              </w:rPr>
            </w:pPr>
          </w:p>
          <w:p w14:paraId="76E33F82">
            <w:pPr>
              <w:spacing w:line="258" w:lineRule="auto"/>
              <w:rPr>
                <w:rFonts w:ascii="Arial"/>
                <w:sz w:val="21"/>
              </w:rPr>
            </w:pPr>
          </w:p>
          <w:p w14:paraId="2B6A118E">
            <w:pPr>
              <w:spacing w:line="258" w:lineRule="auto"/>
              <w:rPr>
                <w:rFonts w:ascii="Arial"/>
                <w:sz w:val="21"/>
              </w:rPr>
            </w:pPr>
          </w:p>
          <w:p w14:paraId="0512ECE9">
            <w:pPr>
              <w:spacing w:line="258" w:lineRule="auto"/>
              <w:rPr>
                <w:rFonts w:ascii="Arial"/>
                <w:sz w:val="21"/>
              </w:rPr>
            </w:pPr>
          </w:p>
          <w:p w14:paraId="03C7716F">
            <w:pPr>
              <w:spacing w:line="258" w:lineRule="auto"/>
              <w:rPr>
                <w:rFonts w:ascii="Arial"/>
                <w:sz w:val="21"/>
              </w:rPr>
            </w:pPr>
          </w:p>
          <w:p w14:paraId="6064C601">
            <w:pPr>
              <w:spacing w:line="258" w:lineRule="auto"/>
              <w:rPr>
                <w:rFonts w:ascii="Arial"/>
                <w:sz w:val="21"/>
              </w:rPr>
            </w:pPr>
          </w:p>
          <w:p w14:paraId="10BC9C2A">
            <w:pPr>
              <w:pStyle w:val="7"/>
              <w:spacing w:before="78" w:line="219" w:lineRule="auto"/>
              <w:ind w:left="5"/>
              <w:rPr>
                <w:sz w:val="24"/>
                <w:szCs w:val="24"/>
              </w:rPr>
            </w:pPr>
            <w:r>
              <w:rPr>
                <w:spacing w:val="1"/>
                <w:sz w:val="24"/>
                <w:szCs w:val="24"/>
              </w:rPr>
              <w:t>受理材料清单</w:t>
            </w:r>
          </w:p>
        </w:tc>
        <w:tc>
          <w:tcPr>
            <w:tcW w:w="7028" w:type="dxa"/>
            <w:gridSpan w:val="3"/>
            <w:vAlign w:val="top"/>
          </w:tcPr>
          <w:p w14:paraId="14C3C40E">
            <w:pPr>
              <w:pStyle w:val="7"/>
              <w:spacing w:before="16" w:line="219" w:lineRule="auto"/>
              <w:ind w:left="12"/>
            </w:pPr>
            <w:r>
              <w:rPr>
                <w:spacing w:val="13"/>
              </w:rPr>
              <w:t>1、</w:t>
            </w:r>
            <w:r>
              <w:rPr>
                <w:rFonts w:hint="eastAsia"/>
                <w:spacing w:val="13"/>
                <w:lang w:eastAsia="zh-CN"/>
              </w:rPr>
              <w:t>党支部会议纪要</w:t>
            </w:r>
            <w:r>
              <w:rPr>
                <w:spacing w:val="13"/>
              </w:rPr>
              <w:t>；</w:t>
            </w:r>
          </w:p>
          <w:p w14:paraId="6F5492DB">
            <w:pPr>
              <w:pStyle w:val="7"/>
              <w:spacing w:before="7" w:line="193" w:lineRule="auto"/>
              <w:ind w:left="12"/>
            </w:pPr>
            <w:r>
              <w:rPr>
                <w:spacing w:val="8"/>
              </w:rPr>
              <w:t>2、</w:t>
            </w:r>
            <w:r>
              <w:rPr>
                <w:rFonts w:hint="eastAsia"/>
                <w:spacing w:val="8"/>
                <w:lang w:eastAsia="zh-CN"/>
              </w:rPr>
              <w:t>县属国有企业董事会决议</w:t>
            </w:r>
            <w:r>
              <w:rPr>
                <w:spacing w:val="8"/>
              </w:rPr>
              <w:t>；</w:t>
            </w:r>
          </w:p>
          <w:p w14:paraId="6423ED43">
            <w:pPr>
              <w:pStyle w:val="7"/>
              <w:spacing w:line="218" w:lineRule="auto"/>
              <w:ind w:left="12"/>
            </w:pPr>
            <w:r>
              <w:rPr>
                <w:spacing w:val="11"/>
              </w:rPr>
              <w:t>3、</w:t>
            </w:r>
            <w:r>
              <w:rPr>
                <w:rFonts w:hint="eastAsia"/>
                <w:spacing w:val="11"/>
                <w:lang w:eastAsia="zh-CN"/>
              </w:rPr>
              <w:t>董事会会议记录</w:t>
            </w:r>
            <w:r>
              <w:rPr>
                <w:spacing w:val="11"/>
              </w:rPr>
              <w:t>；</w:t>
            </w:r>
          </w:p>
          <w:p w14:paraId="6338F21C">
            <w:pPr>
              <w:pStyle w:val="7"/>
              <w:spacing w:before="8" w:line="199" w:lineRule="auto"/>
              <w:ind w:left="12"/>
            </w:pPr>
            <w:r>
              <w:rPr>
                <w:spacing w:val="23"/>
              </w:rPr>
              <w:t>4、</w:t>
            </w:r>
            <w:r>
              <w:rPr>
                <w:rFonts w:hint="eastAsia"/>
                <w:spacing w:val="23"/>
                <w:lang w:eastAsia="zh-CN"/>
              </w:rPr>
              <w:t>议案</w:t>
            </w:r>
            <w:r>
              <w:rPr>
                <w:spacing w:val="23"/>
              </w:rPr>
              <w:t>；</w:t>
            </w:r>
          </w:p>
          <w:p w14:paraId="40651474">
            <w:pPr>
              <w:pStyle w:val="7"/>
              <w:spacing w:before="1" w:line="217" w:lineRule="auto"/>
              <w:ind w:left="12"/>
            </w:pPr>
            <w:r>
              <w:rPr>
                <w:spacing w:val="4"/>
              </w:rPr>
              <w:t>5、可行性研究报告或尽职调查报告等同类材料及论证见；</w:t>
            </w:r>
          </w:p>
          <w:p w14:paraId="6938EA83">
            <w:pPr>
              <w:pStyle w:val="7"/>
              <w:spacing w:before="9" w:line="209" w:lineRule="auto"/>
              <w:ind w:left="12"/>
            </w:pPr>
            <w:r>
              <w:rPr>
                <w:spacing w:val="10"/>
              </w:rPr>
              <w:t>6、双重法律审核意见书；</w:t>
            </w:r>
          </w:p>
          <w:p w14:paraId="34D85E1A">
            <w:pPr>
              <w:pStyle w:val="7"/>
              <w:spacing w:before="1" w:line="219" w:lineRule="auto"/>
              <w:ind w:left="12"/>
            </w:pPr>
            <w:r>
              <w:rPr>
                <w:spacing w:val="10"/>
              </w:rPr>
              <w:t>7、被投资方财务报表；</w:t>
            </w:r>
          </w:p>
          <w:p w14:paraId="34D2347A">
            <w:pPr>
              <w:pStyle w:val="7"/>
              <w:spacing w:before="5" w:line="201" w:lineRule="auto"/>
              <w:ind w:left="12"/>
            </w:pPr>
            <w:r>
              <w:rPr>
                <w:spacing w:val="6"/>
              </w:rPr>
              <w:t>8、有关投资合作方的情况介绍和证明文件；</w:t>
            </w:r>
          </w:p>
          <w:p w14:paraId="7B702019">
            <w:pPr>
              <w:pStyle w:val="7"/>
              <w:spacing w:before="1" w:line="218" w:lineRule="auto"/>
              <w:ind w:left="12"/>
            </w:pPr>
            <w:r>
              <w:rPr>
                <w:spacing w:val="6"/>
              </w:rPr>
              <w:t>9、拟签订的投资协议的主要条款；</w:t>
            </w:r>
          </w:p>
          <w:p w14:paraId="544241B6">
            <w:pPr>
              <w:pStyle w:val="7"/>
              <w:spacing w:before="7" w:line="209" w:lineRule="auto"/>
              <w:ind w:left="12"/>
            </w:pPr>
            <w:r>
              <w:rPr>
                <w:spacing w:val="7"/>
              </w:rPr>
              <w:t>10、审计、评估报告及备案表；</w:t>
            </w:r>
          </w:p>
          <w:p w14:paraId="538C447A">
            <w:pPr>
              <w:pStyle w:val="7"/>
              <w:spacing w:line="222" w:lineRule="auto"/>
              <w:ind w:left="13" w:right="405"/>
              <w:rPr>
                <w:spacing w:val="4"/>
              </w:rPr>
            </w:pPr>
            <w:r>
              <w:rPr>
                <w:spacing w:val="4"/>
              </w:rPr>
              <w:t>11、有资质第三方咨询机构出具的风险分析及防范化解预案；</w:t>
            </w:r>
          </w:p>
          <w:p w14:paraId="5C9B0F89">
            <w:pPr>
              <w:pStyle w:val="7"/>
              <w:spacing w:line="222" w:lineRule="auto"/>
              <w:ind w:left="13" w:right="405"/>
              <w:rPr>
                <w:sz w:val="24"/>
                <w:szCs w:val="24"/>
              </w:rPr>
            </w:pPr>
            <w:r>
              <w:t>12</w:t>
            </w:r>
            <w:r>
              <w:rPr>
                <w:rFonts w:hint="eastAsia"/>
                <w:lang w:eastAsia="zh-CN"/>
              </w:rPr>
              <w:t>、</w:t>
            </w:r>
            <w:r>
              <w:t>其他。</w:t>
            </w:r>
          </w:p>
        </w:tc>
      </w:tr>
    </w:tbl>
    <w:p w14:paraId="43D6ED25">
      <w:pPr>
        <w:spacing w:before="34" w:line="226" w:lineRule="auto"/>
        <w:ind w:left="25"/>
        <w:rPr>
          <w:rFonts w:hint="eastAsia" w:ascii="方正仿宋_GBK" w:hAnsi="方正仿宋_GBK" w:eastAsia="方正仿宋_GBK" w:cs="方正仿宋_GBK"/>
          <w:b w:val="0"/>
          <w:i w:val="0"/>
          <w:snapToGrid/>
          <w:spacing w:val="7"/>
          <w:kern w:val="0"/>
          <w:sz w:val="32"/>
          <w:szCs w:val="32"/>
          <w:u w:val="none"/>
          <w:lang w:val="en-US" w:eastAsia="zh-CN" w:bidi="ar"/>
        </w:rPr>
      </w:pPr>
      <w:r>
        <w:rPr>
          <w:rFonts w:ascii="宋体" w:hAnsi="宋体" w:eastAsia="宋体" w:cs="宋体"/>
          <w:spacing w:val="-1"/>
          <w:sz w:val="21"/>
          <w:szCs w:val="21"/>
        </w:rPr>
        <w:t>注：表二填基本建设投资、自建自用以及以持有为目的的房地产开发投资、技术改造投资， 固定资产、无形资产购置项目</w:t>
      </w:r>
      <w:bookmarkStart w:id="0" w:name="_GoBack"/>
      <w:bookmarkEnd w:id="0"/>
    </w:p>
    <w:sectPr>
      <w:pgSz w:w="11910" w:h="16840"/>
      <w:pgMar w:top="1431" w:right="1439" w:bottom="1079" w:left="1599" w:header="0" w:footer="69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Noto Music"/>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Noto Music"/>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
    <w:altName w:val="方正仿宋_GBK"/>
    <w:panose1 w:val="02010609060101010101"/>
    <w:charset w:val="86"/>
    <w:family w:val="auto"/>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方正小标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85738E">
    <w:pPr>
      <w:spacing w:line="14" w:lineRule="auto"/>
      <w:rPr>
        <w:rFonts w:ascii="Arial"/>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51B165F"/>
    <w:rsid w:val="09930631"/>
    <w:rsid w:val="0EFC3B45"/>
    <w:rsid w:val="15405AE1"/>
    <w:rsid w:val="16B9319C"/>
    <w:rsid w:val="1A425B23"/>
    <w:rsid w:val="1FE03033"/>
    <w:rsid w:val="25384C75"/>
    <w:rsid w:val="26E87B18"/>
    <w:rsid w:val="27CB048A"/>
    <w:rsid w:val="2B8D216D"/>
    <w:rsid w:val="2BB432E1"/>
    <w:rsid w:val="32656836"/>
    <w:rsid w:val="351B7189"/>
    <w:rsid w:val="3640733F"/>
    <w:rsid w:val="36FC2384"/>
    <w:rsid w:val="37FC56B9"/>
    <w:rsid w:val="3A844960"/>
    <w:rsid w:val="3A9348BE"/>
    <w:rsid w:val="3D6E2ECC"/>
    <w:rsid w:val="46862299"/>
    <w:rsid w:val="4D6D0BE0"/>
    <w:rsid w:val="4F3E3259"/>
    <w:rsid w:val="5384717D"/>
    <w:rsid w:val="540711FB"/>
    <w:rsid w:val="59DB58E5"/>
    <w:rsid w:val="63477B78"/>
    <w:rsid w:val="68E12B1C"/>
    <w:rsid w:val="69C62E3B"/>
    <w:rsid w:val="6D424226"/>
    <w:rsid w:val="71424CC3"/>
    <w:rsid w:val="748E41FD"/>
    <w:rsid w:val="788475A5"/>
    <w:rsid w:val="78CB393E"/>
    <w:rsid w:val="797849E6"/>
    <w:rsid w:val="CBB71CD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仿宋" w:hAnsi="仿宋" w:eastAsia="仿宋" w:cs="仿宋"/>
      <w:sz w:val="31"/>
      <w:szCs w:val="31"/>
      <w:lang w:val="en-US" w:eastAsia="en-US" w:bidi="ar-SA"/>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customStyle="1" w:styleId="6">
    <w:name w:val="Table Normal"/>
    <w:semiHidden/>
    <w:unhideWhenUsed/>
    <w:qFormat/>
    <w:uiPriority w:val="0"/>
    <w:tblPr>
      <w:tblCellMar>
        <w:top w:w="0" w:type="dxa"/>
        <w:left w:w="0" w:type="dxa"/>
        <w:bottom w:w="0" w:type="dxa"/>
        <w:right w:w="0" w:type="dxa"/>
      </w:tblCellMar>
    </w:tblPr>
  </w:style>
  <w:style w:type="paragraph" w:customStyle="1" w:styleId="7">
    <w:name w:val="Table Text"/>
    <w:basedOn w:val="1"/>
    <w:semiHidden/>
    <w:qFormat/>
    <w:uiPriority w:val="0"/>
    <w:rPr>
      <w:rFonts w:ascii="宋体" w:hAnsi="宋体" w:eastAsia="宋体" w:cs="宋体"/>
      <w:sz w:val="23"/>
      <w:szCs w:val="23"/>
      <w:lang w:val="en-US" w:eastAsia="en-US"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13</Pages>
  <Words>5594</Words>
  <Characters>5675</Characters>
  <Lines>0</Lines>
  <Paragraphs>0</Paragraphs>
  <TotalTime>44</TotalTime>
  <ScaleCrop>false</ScaleCrop>
  <LinksUpToDate>false</LinksUpToDate>
  <CharactersWithSpaces>5788</CharactersWithSpaces>
  <Application>WPS Office_12.8.2.17863_F1E327BC-269C-435d-A152-05C5408002CA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2025-06-09T16:06:00Z</dcterms:created>
  <dc:creator>Administrator</dc:creator>
  <cp:lastModifiedBy>huawei</cp:lastModifiedBy>
  <cp:lastPrinted>2025-08-05T16:14:00Z</cp:lastPrinted>
  <dcterms:modified xsi:type="dcterms:W3CDTF">2025-11-07T11:18:09Z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2052-12.8.2.17863</vt:lpwstr>
  </property>
  <property fmtid="{D5CDD505-2E9C-101B-9397-08002B2CF9AE}" pid="3" name="ICV">
    <vt:lpwstr>05A27058E56C4E8794831BECBA04D0CB_12</vt:lpwstr>
  </property>
  <property fmtid="{D5CDD505-2E9C-101B-9397-08002B2CF9AE}" pid="4" name="KSOTemplateDocerSaveRecord">
    <vt:lpwstr>eyJoZGlkIjoiMWZjNzZmM2VjNGNjYTUzMTE0NDU3YzhiODg4NzQ5MmIifQ==</vt:lpwstr>
  </property>
</Properties>
</file>