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64CAC">
      <w:pPr>
        <w:keepNext w:val="0"/>
        <w:keepLines w:val="0"/>
        <w:pageBreakBefore w:val="0"/>
        <w:widowControl/>
        <w:suppressLineNumbers w:val="0"/>
        <w:kinsoku/>
        <w:wordWrap/>
        <w:overflowPunct/>
        <w:topLinePunct w:val="0"/>
        <w:autoSpaceDE/>
        <w:autoSpaceDN/>
        <w:bidi w:val="0"/>
        <w:adjustRightInd/>
        <w:snapToGrid/>
        <w:spacing w:line="556" w:lineRule="exact"/>
        <w:jc w:val="center"/>
        <w:textAlignment w:val="auto"/>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关于2025年河道管理范围内建设项目防洪影响评价报告技术审查询价采购公告</w:t>
      </w:r>
    </w:p>
    <w:p w14:paraId="1B1A0B9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根据尼木县河道管理范围内建设项目防洪影响评价报告技术审查工作需求，对下述项目进行询价采购，现邀请合格的供应商前来响应。</w:t>
      </w:r>
    </w:p>
    <w:p w14:paraId="023BE43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一、项目基本情况</w:t>
      </w:r>
    </w:p>
    <w:p w14:paraId="44AF8B9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1、项目编号：</w:t>
      </w:r>
    </w:p>
    <w:p w14:paraId="3A5157B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2、项目名称：2025年河道管理范围内建设项目防洪影响评价报告技术审查。</w:t>
      </w:r>
    </w:p>
    <w:p w14:paraId="10686DD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3、采购方式：询价</w:t>
      </w:r>
    </w:p>
    <w:p w14:paraId="7B08273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4、资金来源：县级财政</w:t>
      </w:r>
    </w:p>
    <w:p w14:paraId="2C40770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5、签订期限：一年</w:t>
      </w:r>
    </w:p>
    <w:p w14:paraId="6E6A48E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6、最高限价：92000元</w:t>
      </w:r>
    </w:p>
    <w:p w14:paraId="0F67B76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具体规格、技术指标等要求详见下表</w:t>
      </w: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725"/>
        <w:gridCol w:w="840"/>
        <w:gridCol w:w="795"/>
        <w:gridCol w:w="885"/>
        <w:gridCol w:w="975"/>
        <w:gridCol w:w="2284"/>
      </w:tblGrid>
      <w:tr w14:paraId="47B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70" w:type="dxa"/>
            <w:vAlign w:val="center"/>
          </w:tcPr>
          <w:p w14:paraId="10662CEF">
            <w:pPr>
              <w:keepNext w:val="0"/>
              <w:keepLines w:val="0"/>
              <w:pageBreakBefore w:val="0"/>
              <w:numPr>
                <w:ilvl w:val="0"/>
                <w:numId w:val="0"/>
              </w:numPr>
              <w:kinsoku/>
              <w:wordWrap/>
              <w:overflowPunct/>
              <w:topLinePunct w:val="0"/>
              <w:autoSpaceDE/>
              <w:autoSpaceDN/>
              <w:bidi w:val="0"/>
              <w:adjustRightInd/>
              <w:snapToGrid/>
              <w:ind w:firstLine="420" w:firstLineChars="200"/>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项目名称</w:t>
            </w:r>
          </w:p>
        </w:tc>
        <w:tc>
          <w:tcPr>
            <w:tcW w:w="1725" w:type="dxa"/>
            <w:vAlign w:val="center"/>
          </w:tcPr>
          <w:p w14:paraId="7106C7BB">
            <w:pPr>
              <w:keepNext w:val="0"/>
              <w:keepLines w:val="0"/>
              <w:pageBreakBefore w:val="0"/>
              <w:numPr>
                <w:ilvl w:val="0"/>
                <w:numId w:val="0"/>
              </w:numPr>
              <w:kinsoku/>
              <w:wordWrap/>
              <w:overflowPunct/>
              <w:topLinePunct w:val="0"/>
              <w:autoSpaceDE/>
              <w:autoSpaceDN/>
              <w:bidi w:val="0"/>
              <w:adjustRightInd/>
              <w:snapToGrid/>
              <w:ind w:firstLine="420" w:firstLineChars="200"/>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其他要求</w:t>
            </w:r>
          </w:p>
        </w:tc>
        <w:tc>
          <w:tcPr>
            <w:tcW w:w="840" w:type="dxa"/>
            <w:vAlign w:val="center"/>
          </w:tcPr>
          <w:p w14:paraId="06AA601E">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单位</w:t>
            </w:r>
          </w:p>
        </w:tc>
        <w:tc>
          <w:tcPr>
            <w:tcW w:w="795" w:type="dxa"/>
            <w:vAlign w:val="center"/>
          </w:tcPr>
          <w:p w14:paraId="2650D100">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数量</w:t>
            </w:r>
          </w:p>
        </w:tc>
        <w:tc>
          <w:tcPr>
            <w:tcW w:w="885" w:type="dxa"/>
          </w:tcPr>
          <w:p w14:paraId="701EA926">
            <w:pPr>
              <w:keepNext w:val="0"/>
              <w:keepLines w:val="0"/>
              <w:pageBreakBefore w:val="0"/>
              <w:numPr>
                <w:ilvl w:val="0"/>
                <w:numId w:val="0"/>
              </w:numPr>
              <w:kinsoku/>
              <w:wordWrap/>
              <w:overflowPunct/>
              <w:topLinePunct w:val="0"/>
              <w:autoSpaceDE/>
              <w:autoSpaceDN/>
              <w:bidi w:val="0"/>
              <w:adjustRightInd/>
              <w:snapToGrid/>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单价（元）</w:t>
            </w:r>
          </w:p>
        </w:tc>
        <w:tc>
          <w:tcPr>
            <w:tcW w:w="975" w:type="dxa"/>
          </w:tcPr>
          <w:p w14:paraId="3F50176B">
            <w:pPr>
              <w:keepNext w:val="0"/>
              <w:keepLines w:val="0"/>
              <w:pageBreakBefore w:val="0"/>
              <w:numPr>
                <w:ilvl w:val="0"/>
                <w:numId w:val="0"/>
              </w:numPr>
              <w:kinsoku/>
              <w:wordWrap/>
              <w:overflowPunct/>
              <w:topLinePunct w:val="0"/>
              <w:autoSpaceDE/>
              <w:autoSpaceDN/>
              <w:bidi w:val="0"/>
              <w:adjustRightInd/>
              <w:snapToGrid/>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合计（元）</w:t>
            </w:r>
          </w:p>
        </w:tc>
        <w:tc>
          <w:tcPr>
            <w:tcW w:w="2284" w:type="dxa"/>
            <w:vAlign w:val="center"/>
          </w:tcPr>
          <w:p w14:paraId="5B04D373">
            <w:pPr>
              <w:keepNext w:val="0"/>
              <w:keepLines w:val="0"/>
              <w:pageBreakBefore w:val="0"/>
              <w:numPr>
                <w:ilvl w:val="0"/>
                <w:numId w:val="0"/>
              </w:numPr>
              <w:kinsoku/>
              <w:wordWrap/>
              <w:overflowPunct/>
              <w:topLinePunct w:val="0"/>
              <w:autoSpaceDE/>
              <w:autoSpaceDN/>
              <w:bidi w:val="0"/>
              <w:adjustRightInd/>
              <w:snapToGrid/>
              <w:ind w:firstLine="420" w:firstLineChars="200"/>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备注</w:t>
            </w:r>
          </w:p>
        </w:tc>
      </w:tr>
      <w:tr w14:paraId="69F0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70" w:type="dxa"/>
            <w:vAlign w:val="center"/>
          </w:tcPr>
          <w:p w14:paraId="1C4A60FB">
            <w:pPr>
              <w:keepNext w:val="0"/>
              <w:keepLines w:val="0"/>
              <w:pageBreakBefore w:val="0"/>
              <w:numPr>
                <w:ilvl w:val="0"/>
                <w:numId w:val="0"/>
              </w:numPr>
              <w:kinsoku/>
              <w:wordWrap/>
              <w:overflowPunct/>
              <w:topLinePunct w:val="0"/>
              <w:autoSpaceDE/>
              <w:autoSpaceDN/>
              <w:bidi w:val="0"/>
              <w:adjustRightInd/>
              <w:snapToGrid/>
              <w:ind w:firstLine="420" w:firstLineChars="200"/>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防洪影响评价报告技术审查</w:t>
            </w:r>
          </w:p>
        </w:tc>
        <w:tc>
          <w:tcPr>
            <w:tcW w:w="1725" w:type="dxa"/>
            <w:vAlign w:val="center"/>
          </w:tcPr>
          <w:p w14:paraId="7B629DF6">
            <w:pPr>
              <w:keepNext w:val="0"/>
              <w:keepLines w:val="0"/>
              <w:pageBreakBefore w:val="0"/>
              <w:numPr>
                <w:ilvl w:val="0"/>
                <w:numId w:val="0"/>
              </w:numPr>
              <w:kinsoku/>
              <w:wordWrap/>
              <w:overflowPunct/>
              <w:topLinePunct w:val="0"/>
              <w:autoSpaceDE/>
              <w:autoSpaceDN/>
              <w:bidi w:val="0"/>
              <w:adjustRightInd/>
              <w:snapToGrid/>
              <w:ind w:firstLine="420" w:firstLineChars="200"/>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符合藏水河[2023]12号文件等相关要求</w:t>
            </w:r>
          </w:p>
        </w:tc>
        <w:tc>
          <w:tcPr>
            <w:tcW w:w="840" w:type="dxa"/>
            <w:vAlign w:val="center"/>
          </w:tcPr>
          <w:p w14:paraId="667EF776">
            <w:pPr>
              <w:keepNext w:val="0"/>
              <w:keepLines w:val="0"/>
              <w:pageBreakBefore w:val="0"/>
              <w:numPr>
                <w:ilvl w:val="0"/>
                <w:numId w:val="0"/>
              </w:numPr>
              <w:kinsoku/>
              <w:wordWrap/>
              <w:overflowPunct/>
              <w:topLinePunct w:val="0"/>
              <w:autoSpaceDE/>
              <w:autoSpaceDN/>
              <w:bidi w:val="0"/>
              <w:adjustRightInd/>
              <w:snapToGrid/>
              <w:ind w:firstLine="420" w:firstLineChars="200"/>
              <w:jc w:val="center"/>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个</w:t>
            </w:r>
          </w:p>
        </w:tc>
        <w:tc>
          <w:tcPr>
            <w:tcW w:w="795" w:type="dxa"/>
            <w:vAlign w:val="center"/>
          </w:tcPr>
          <w:p w14:paraId="1CAB6CE8">
            <w:pPr>
              <w:keepNext w:val="0"/>
              <w:keepLines w:val="0"/>
              <w:pageBreakBefore w:val="0"/>
              <w:numPr>
                <w:ilvl w:val="0"/>
                <w:numId w:val="0"/>
              </w:numPr>
              <w:kinsoku/>
              <w:wordWrap/>
              <w:overflowPunct/>
              <w:topLinePunct w:val="0"/>
              <w:autoSpaceDE/>
              <w:autoSpaceDN/>
              <w:bidi w:val="0"/>
              <w:adjustRightInd/>
              <w:snapToGrid/>
              <w:ind w:firstLine="210" w:firstLineChars="100"/>
              <w:jc w:val="both"/>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885" w:type="dxa"/>
            <w:vAlign w:val="center"/>
          </w:tcPr>
          <w:p w14:paraId="4F8383CC">
            <w:pPr>
              <w:keepNext w:val="0"/>
              <w:keepLines w:val="0"/>
              <w:pageBreakBefore w:val="0"/>
              <w:numPr>
                <w:ilvl w:val="0"/>
                <w:numId w:val="0"/>
              </w:numPr>
              <w:kinsoku/>
              <w:wordWrap/>
              <w:overflowPunct/>
              <w:topLinePunct w:val="0"/>
              <w:autoSpaceDE/>
              <w:autoSpaceDN/>
              <w:bidi w:val="0"/>
              <w:adjustRightInd/>
              <w:snapToGrid/>
              <w:jc w:val="both"/>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9200</w:t>
            </w:r>
          </w:p>
        </w:tc>
        <w:tc>
          <w:tcPr>
            <w:tcW w:w="975" w:type="dxa"/>
            <w:vAlign w:val="center"/>
          </w:tcPr>
          <w:p w14:paraId="1D1FA142">
            <w:pPr>
              <w:keepNext w:val="0"/>
              <w:keepLines w:val="0"/>
              <w:pageBreakBefore w:val="0"/>
              <w:numPr>
                <w:ilvl w:val="0"/>
                <w:numId w:val="0"/>
              </w:numPr>
              <w:kinsoku/>
              <w:wordWrap/>
              <w:overflowPunct/>
              <w:topLinePunct w:val="0"/>
              <w:autoSpaceDE/>
              <w:autoSpaceDN/>
              <w:bidi w:val="0"/>
              <w:adjustRightInd/>
              <w:snapToGrid/>
              <w:jc w:val="both"/>
              <w:textAlignment w:val="auto"/>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92000</w:t>
            </w:r>
          </w:p>
        </w:tc>
        <w:tc>
          <w:tcPr>
            <w:tcW w:w="2284" w:type="dxa"/>
          </w:tcPr>
          <w:p w14:paraId="563074EA">
            <w:pPr>
              <w:keepNext w:val="0"/>
              <w:keepLines w:val="0"/>
              <w:pageBreakBefore w:val="0"/>
              <w:numPr>
                <w:ilvl w:val="0"/>
                <w:numId w:val="0"/>
              </w:numPr>
              <w:kinsoku/>
              <w:wordWrap/>
              <w:overflowPunct/>
              <w:topLinePunct w:val="0"/>
              <w:autoSpaceDE/>
              <w:autoSpaceDN/>
              <w:bidi w:val="0"/>
              <w:adjustRightInd/>
              <w:snapToGrid/>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包含涉河项目建设方案审查。 审查范围小型涉河建设项目防洪影响评价技术审查及大、中型涉河项目的预审</w:t>
            </w:r>
          </w:p>
        </w:tc>
      </w:tr>
    </w:tbl>
    <w:p w14:paraId="66AD1CCD">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二、资格要求</w:t>
      </w:r>
    </w:p>
    <w:p w14:paraId="110B2E6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1.满足《中华人民共和国政府采购法》第二十二条规定的条件。</w:t>
      </w:r>
    </w:p>
    <w:p w14:paraId="365DF35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 具有独立法人资格，持有有</w:t>
      </w:r>
      <w:bookmarkStart w:id="0" w:name="_GoBack"/>
      <w:bookmarkEnd w:id="0"/>
      <w:r>
        <w:rPr>
          <w:rFonts w:hint="eastAsia" w:ascii="方正仿宋_GBK" w:hAnsi="方正仿宋_GBK" w:eastAsia="方正仿宋_GBK" w:cs="方正仿宋_GBK"/>
          <w:kern w:val="0"/>
          <w:sz w:val="32"/>
          <w:szCs w:val="32"/>
          <w:lang w:val="en-US" w:eastAsia="zh-CN" w:bidi="ar"/>
        </w:rPr>
        <w:t>效的营业执照，经营范围涵盖本项目有关服务事项。</w:t>
      </w:r>
    </w:p>
    <w:p w14:paraId="1AE211A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3、具有良好的商业信誉和健全的财务会计制度，提供近三年（2022年至今）的财务审计报告或财务报表。</w:t>
      </w:r>
    </w:p>
    <w:p w14:paraId="4378624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4、近三年（2022年至今）内具有防洪影响评价技术评审业绩。</w:t>
      </w:r>
    </w:p>
    <w:p w14:paraId="44AB7E2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5、在“信用中国”网站（www.creditchina.gov.cn）、“国家企业信用信息公示系统”（www.gsxt.gov.cn）中未被列入失信被执行人、重大税收违法案件当事人名单、严重违法失信企业名单。</w:t>
      </w:r>
    </w:p>
    <w:p w14:paraId="76A6B70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6、本项目不接受联合体报价，不允许转包或分包。</w:t>
      </w:r>
    </w:p>
    <w:p w14:paraId="4079C25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三、本项目特定资格要求</w:t>
      </w:r>
    </w:p>
    <w:p w14:paraId="0738B7C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无</w:t>
      </w:r>
    </w:p>
    <w:p w14:paraId="53029E3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四、报价文件内容及要求</w:t>
      </w:r>
    </w:p>
    <w:p w14:paraId="120C16D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 报价函：注明项目名称、报价单位、联系人、联系电话等信息。</w:t>
      </w:r>
    </w:p>
    <w:p w14:paraId="2279754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 营业执照复印件：加盖公章。</w:t>
      </w:r>
    </w:p>
    <w:p w14:paraId="24059E7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 法定代表人身份证明书：如委托他人报价，需提供法定代表人授权委托书及被授权人身份证复印件。</w:t>
      </w:r>
    </w:p>
    <w:p w14:paraId="340FC86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4、质量保证及后续服务承诺。</w:t>
      </w:r>
    </w:p>
    <w:p w14:paraId="43BABEB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5、报价文件格式：供应商需提供详细的报价单。</w:t>
      </w:r>
    </w:p>
    <w:p w14:paraId="7677911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五、</w:t>
      </w:r>
      <w:r>
        <w:rPr>
          <w:rFonts w:hint="default" w:ascii="方正黑体_GBK" w:hAnsi="方正黑体_GBK" w:eastAsia="方正黑体_GBK" w:cs="方正黑体_GBK"/>
          <w:b w:val="0"/>
          <w:bCs w:val="0"/>
          <w:kern w:val="0"/>
          <w:sz w:val="32"/>
          <w:szCs w:val="32"/>
          <w:lang w:val="en-US" w:eastAsia="zh-CN" w:bidi="ar"/>
        </w:rPr>
        <w:t>提交响应文件截止时间、开启时间和地点</w:t>
      </w:r>
    </w:p>
    <w:p w14:paraId="2747F27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1、开启时间（响应截止时间）：2025年3月17日9:30(北京时间)至2025年3月18日12:00(北京时间)。</w:t>
      </w:r>
    </w:p>
    <w:p w14:paraId="34FD211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w:t>
      </w:r>
      <w:r>
        <w:rPr>
          <w:rFonts w:hint="default" w:ascii="方正仿宋_GBK" w:hAnsi="方正仿宋_GBK" w:eastAsia="方正仿宋_GBK" w:cs="方正仿宋_GBK"/>
          <w:kern w:val="0"/>
          <w:sz w:val="32"/>
          <w:szCs w:val="32"/>
          <w:lang w:val="en-US" w:eastAsia="zh-CN" w:bidi="ar"/>
        </w:rPr>
        <w:t>响应文件提交地点：</w:t>
      </w:r>
      <w:r>
        <w:rPr>
          <w:rFonts w:hint="eastAsia" w:ascii="方正仿宋_GBK" w:hAnsi="方正仿宋_GBK" w:eastAsia="方正仿宋_GBK" w:cs="方正仿宋_GBK"/>
          <w:kern w:val="0"/>
          <w:sz w:val="32"/>
          <w:szCs w:val="32"/>
          <w:lang w:val="en-US" w:eastAsia="zh-CN" w:bidi="ar"/>
        </w:rPr>
        <w:t>nmsbz1125@163.com</w:t>
      </w:r>
      <w:r>
        <w:rPr>
          <w:rFonts w:hint="default" w:ascii="方正仿宋_GBK" w:hAnsi="方正仿宋_GBK" w:eastAsia="方正仿宋_GBK" w:cs="方正仿宋_GBK"/>
          <w:kern w:val="0"/>
          <w:sz w:val="32"/>
          <w:szCs w:val="32"/>
          <w:lang w:val="en-US" w:eastAsia="zh-CN" w:bidi="ar"/>
        </w:rPr>
        <w:t>。</w:t>
      </w:r>
    </w:p>
    <w:p w14:paraId="51BC24E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w:t>
      </w:r>
      <w:r>
        <w:rPr>
          <w:rFonts w:hint="default" w:ascii="方正仿宋_GBK" w:hAnsi="方正仿宋_GBK" w:eastAsia="方正仿宋_GBK" w:cs="方正仿宋_GBK"/>
          <w:kern w:val="0"/>
          <w:sz w:val="32"/>
          <w:szCs w:val="32"/>
          <w:lang w:val="en-US" w:eastAsia="zh-CN" w:bidi="ar"/>
        </w:rPr>
        <w:t>报价方式：供应商应在报价截止时间前通过</w:t>
      </w:r>
      <w:r>
        <w:rPr>
          <w:rFonts w:hint="eastAsia" w:ascii="方正仿宋_GBK" w:hAnsi="方正仿宋_GBK" w:eastAsia="方正仿宋_GBK" w:cs="方正仿宋_GBK"/>
          <w:kern w:val="0"/>
          <w:sz w:val="32"/>
          <w:szCs w:val="32"/>
          <w:lang w:val="en-US" w:eastAsia="zh-CN" w:bidi="ar"/>
        </w:rPr>
        <w:t>nmsbz1125@163.com</w:t>
      </w:r>
      <w:r>
        <w:rPr>
          <w:rFonts w:hint="default" w:ascii="方正仿宋_GBK" w:hAnsi="方正仿宋_GBK" w:eastAsia="方正仿宋_GBK" w:cs="方正仿宋_GBK"/>
          <w:kern w:val="0"/>
          <w:sz w:val="32"/>
          <w:szCs w:val="32"/>
          <w:lang w:val="en-US" w:eastAsia="zh-CN" w:bidi="ar"/>
        </w:rPr>
        <w:t>发送扫描件（邮件主题注明项目名称及供应商名称）。报名文件按邮箱发送或接收时间为准，逾期送达或不符合要求的报价文件将被拒收。</w:t>
      </w:r>
    </w:p>
    <w:p w14:paraId="02A069C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4、询价地点：尼木县农业农村和科技水利局</w:t>
      </w:r>
    </w:p>
    <w:p w14:paraId="67B60A5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六、比对及成交原则</w:t>
      </w:r>
    </w:p>
    <w:p w14:paraId="17DA8E0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1、将对符合资格要求的报价文件进行比对，综合考虑报价、服务能力、等因素。</w:t>
      </w:r>
    </w:p>
    <w:p w14:paraId="5115FF8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2、成交原则：在满足采购需求、质量和服务以及其他相等的前提下，以提出最低报价的供应商为成交供应商。</w:t>
      </w:r>
    </w:p>
    <w:p w14:paraId="6A96556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3、成交供应商应在接到成交通知书后5个工作日内与采购方签订合同，如未按时签订合同，将视为自动放弃成交资格，采购方有权另行选择供应商。</w:t>
      </w:r>
    </w:p>
    <w:p w14:paraId="7EF17AE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 在合同履行过程中，如发现成交供应商提供的相关文件质量不符合要求或未按时提交成果，采购方有权按照合同约定进行处理，包括但不限于扣除违约金、解除合同等。</w:t>
      </w:r>
    </w:p>
    <w:p w14:paraId="18A189B6">
      <w:pPr>
        <w:keepNext w:val="0"/>
        <w:keepLines w:val="0"/>
        <w:pageBreakBefore w:val="0"/>
        <w:widowControl/>
        <w:suppressLineNumbers w:val="0"/>
        <w:kinsoku/>
        <w:wordWrap/>
        <w:overflowPunct/>
        <w:topLinePunct w:val="0"/>
        <w:autoSpaceDE/>
        <w:autoSpaceDN/>
        <w:bidi w:val="0"/>
        <w:adjustRightInd/>
        <w:snapToGrid/>
        <w:spacing w:line="576" w:lineRule="exact"/>
        <w:ind w:firstLine="720" w:firstLineChars="200"/>
        <w:jc w:val="left"/>
        <w:textAlignment w:val="auto"/>
        <w:rPr>
          <w:rFonts w:hint="eastAsia" w:ascii="方正黑体_GBK" w:hAnsi="方正黑体_GBK" w:eastAsia="方正黑体_GBK" w:cs="方正黑体_GBK"/>
          <w:b w:val="0"/>
          <w:bCs w:val="0"/>
          <w:kern w:val="0"/>
          <w:sz w:val="36"/>
          <w:szCs w:val="36"/>
          <w:lang w:val="en-US" w:eastAsia="zh-CN" w:bidi="ar"/>
        </w:rPr>
      </w:pPr>
      <w:r>
        <w:rPr>
          <w:rFonts w:hint="eastAsia" w:ascii="方正黑体_GBK" w:hAnsi="方正黑体_GBK" w:eastAsia="方正黑体_GBK" w:cs="方正黑体_GBK"/>
          <w:b w:val="0"/>
          <w:bCs w:val="0"/>
          <w:kern w:val="0"/>
          <w:sz w:val="36"/>
          <w:szCs w:val="36"/>
          <w:lang w:val="en-US" w:eastAsia="zh-CN" w:bidi="ar"/>
        </w:rPr>
        <w:t>七、采购人信息</w:t>
      </w:r>
    </w:p>
    <w:p w14:paraId="789A229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1.名称：尼木县农业农村和科技水利局</w:t>
      </w:r>
    </w:p>
    <w:p w14:paraId="3E60D01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
        </w:rPr>
      </w:pPr>
      <w:r>
        <w:rPr>
          <w:rFonts w:hint="default" w:ascii="方正仿宋_GBK" w:hAnsi="方正仿宋_GBK" w:eastAsia="方正仿宋_GBK" w:cs="方正仿宋_GBK"/>
          <w:kern w:val="0"/>
          <w:sz w:val="32"/>
          <w:szCs w:val="32"/>
          <w:lang w:val="en-US" w:eastAsia="zh-CN" w:bidi="ar"/>
        </w:rPr>
        <w:t>2.地址：</w:t>
      </w:r>
      <w:r>
        <w:rPr>
          <w:rFonts w:hint="eastAsia" w:ascii="方正仿宋_GBK" w:hAnsi="方正仿宋_GBK" w:eastAsia="方正仿宋_GBK" w:cs="方正仿宋_GBK"/>
          <w:kern w:val="0"/>
          <w:sz w:val="32"/>
          <w:szCs w:val="32"/>
          <w:lang w:val="en-US" w:eastAsia="zh-CN" w:bidi="ar"/>
        </w:rPr>
        <w:t>人民路10号</w:t>
      </w:r>
    </w:p>
    <w:p w14:paraId="4FAFE2A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w:t>
      </w:r>
      <w:r>
        <w:rPr>
          <w:rFonts w:hint="default" w:ascii="方正仿宋_GBK" w:hAnsi="方正仿宋_GBK" w:eastAsia="方正仿宋_GBK" w:cs="方正仿宋_GBK"/>
          <w:kern w:val="0"/>
          <w:sz w:val="32"/>
          <w:szCs w:val="32"/>
          <w:lang w:val="en-US" w:eastAsia="zh-CN" w:bidi="ar"/>
        </w:rPr>
        <w:t>.电话：</w:t>
      </w:r>
      <w:r>
        <w:rPr>
          <w:rFonts w:hint="eastAsia" w:ascii="方正仿宋_GBK" w:hAnsi="方正仿宋_GBK" w:eastAsia="方正仿宋_GBK" w:cs="方正仿宋_GBK"/>
          <w:kern w:val="0"/>
          <w:sz w:val="32"/>
          <w:szCs w:val="32"/>
          <w:lang w:val="en-US" w:eastAsia="zh-CN" w:bidi="ar"/>
        </w:rPr>
        <w:t>18898016090    13889091817</w:t>
      </w:r>
    </w:p>
    <w:p w14:paraId="2F5E786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AAEAFE06-7496-46F5-91B9-CA2964DF13FA}"/>
  </w:font>
  <w:font w:name="方正黑体_GBK">
    <w:panose1 w:val="03000509000000000000"/>
    <w:charset w:val="86"/>
    <w:family w:val="auto"/>
    <w:pitch w:val="default"/>
    <w:sig w:usb0="00000001" w:usb1="080E0000" w:usb2="00000000" w:usb3="00000000" w:csb0="00040000" w:csb1="00000000"/>
    <w:embedRegular r:id="rId2" w:fontKey="{C372DB6A-8BF0-4D3B-9A2E-17AE01B3AF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F6AE0"/>
    <w:rsid w:val="1EA41AEE"/>
    <w:rsid w:val="310529A2"/>
    <w:rsid w:val="426C0481"/>
    <w:rsid w:val="4EE7597A"/>
    <w:rsid w:val="7285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1268</Characters>
  <Lines>0</Lines>
  <Paragraphs>0</Paragraphs>
  <TotalTime>9</TotalTime>
  <ScaleCrop>false</ScaleCrop>
  <LinksUpToDate>false</LinksUpToDate>
  <CharactersWithSpaces>1278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2025-03-12T04:58:00Z</dcterms:created>
  <dc:creator>Administrator</dc:creator>
  <cp:lastModifiedBy>མིལ་མིད་ཆུང་ཆུང་</cp:lastModifiedBy>
  <dcterms:modified xsi:type="dcterms:W3CDTF">2025-03-14T03:06:37Z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eyJoZGlkIjoiZDUyZTc4YzA4Mzg1MWM3NzNkY2UyOTgwNGI0MjI5MTQiLCJ1c2VySWQiOiIyNzkwNDA5MzIifQ==</vt:lpwstr>
  </property>
  <property fmtid="{D5CDD505-2E9C-101B-9397-08002B2CF9AE}" pid="4" name="ICV">
    <vt:lpwstr>FE34DDF580294058860B8DD1EF0BCE99_12</vt:lpwstr>
  </property>
</Properties>
</file>